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color w:val="auto"/>
        </w:rPr>
        <w:t>UNITED STATES</w:t>
      </w:r>
    </w:p>
    <w:p>
      <w:pPr>
        <w:spacing w:after="0" w:line="2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46" w:lineRule="exact"/>
        <w:rPr>
          <w:sz w:val="24"/>
          <w:szCs w:val="24"/>
          <w:color w:val="auto"/>
        </w:rPr>
      </w:pPr>
    </w:p>
    <w:p>
      <w:pPr>
        <w:ind w:left="580" w:right="2080" w:hanging="554"/>
        <w:spacing w:after="0" w:line="610" w:lineRule="auto"/>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u w:val="single" w:color="auto"/>
          <w:color w:val="auto"/>
        </w:rPr>
        <w:t>March 31,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320" w:lineRule="exact"/>
        <w:rPr>
          <w:sz w:val="24"/>
          <w:szCs w:val="24"/>
          <w:color w:val="auto"/>
        </w:rPr>
      </w:pPr>
    </w:p>
    <w:p>
      <w:pPr>
        <w:ind w:left="580" w:hanging="554"/>
        <w:spacing w:after="0"/>
        <w:tabs>
          <w:tab w:leader="none" w:pos="5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32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For the transition period from __________ to __________</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000-20827</w:t>
      </w:r>
    </w:p>
    <w:p>
      <w:pPr>
        <w:spacing w:after="0" w:line="126"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9720" w:type="dxa"/>
            <w:vAlign w:val="bottom"/>
            <w:gridSpan w:val="2"/>
          </w:tcPr>
          <w:p>
            <w:pPr>
              <w:jc w:val="center"/>
              <w:ind w:left="1408"/>
              <w:spacing w:after="0"/>
              <w:rPr>
                <w:sz w:val="20"/>
                <w:szCs w:val="20"/>
                <w:color w:val="auto"/>
              </w:rPr>
            </w:pPr>
            <w:r>
              <w:rPr>
                <w:rFonts w:ascii="Times New Roman" w:cs="Times New Roman" w:eastAsia="Times New Roman" w:hAnsi="Times New Roman"/>
                <w:sz w:val="22"/>
                <w:szCs w:val="22"/>
                <w:b w:val="1"/>
                <w:bCs w:val="1"/>
                <w:color w:val="auto"/>
                <w:w w:val="97"/>
              </w:rPr>
              <w:t>CASS INFORMATION SYSTEMS, INC.</w:t>
            </w:r>
          </w:p>
        </w:tc>
      </w:tr>
      <w:tr>
        <w:trPr>
          <w:trHeight w:val="234"/>
        </w:trPr>
        <w:tc>
          <w:tcPr>
            <w:tcW w:w="9720" w:type="dxa"/>
            <w:vAlign w:val="bottom"/>
            <w:gridSpan w:val="2"/>
          </w:tcPr>
          <w:p>
            <w:pPr>
              <w:jc w:val="center"/>
              <w:ind w:left="1388"/>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32"/>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Missouri</w:t>
            </w:r>
          </w:p>
        </w:tc>
        <w:tc>
          <w:tcPr>
            <w:tcW w:w="40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43-1265338</w:t>
            </w: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(State or other jurisdiction of incorporation or</w:t>
            </w:r>
          </w:p>
        </w:tc>
        <w:tc>
          <w:tcPr>
            <w:tcW w:w="4060" w:type="dxa"/>
            <w:vAlign w:val="bottom"/>
          </w:tcPr>
          <w:p>
            <w:pPr>
              <w:jc w:val="center"/>
              <w:ind w:left="135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5660" w:type="dxa"/>
            <w:vAlign w:val="bottom"/>
          </w:tcPr>
          <w:p>
            <w:pPr>
              <w:spacing w:after="0"/>
              <w:rPr>
                <w:sz w:val="20"/>
                <w:szCs w:val="20"/>
                <w:color w:val="auto"/>
              </w:rPr>
            </w:pPr>
            <w:r>
              <w:rPr>
                <w:rFonts w:ascii="Arial" w:cs="Arial" w:eastAsia="Arial" w:hAnsi="Arial"/>
                <w:sz w:val="18"/>
                <w:szCs w:val="18"/>
                <w:color w:val="auto"/>
              </w:rPr>
              <w:t>organization)</w:t>
            </w:r>
          </w:p>
        </w:tc>
        <w:tc>
          <w:tcPr>
            <w:tcW w:w="4060" w:type="dxa"/>
            <w:vAlign w:val="bottom"/>
          </w:tcPr>
          <w:p>
            <w:pPr>
              <w:spacing w:after="0"/>
              <w:rPr>
                <w:sz w:val="20"/>
                <w:szCs w:val="20"/>
                <w:color w:val="auto"/>
              </w:rPr>
            </w:pPr>
          </w:p>
        </w:tc>
      </w:tr>
      <w:tr>
        <w:trPr>
          <w:trHeight w:val="216"/>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12444 Powerscourt Drive, Suite 550</w:t>
            </w:r>
          </w:p>
        </w:tc>
        <w:tc>
          <w:tcPr>
            <w:tcW w:w="4060" w:type="dxa"/>
            <w:vAlign w:val="bottom"/>
          </w:tcPr>
          <w:p>
            <w:pPr>
              <w:spacing w:after="0"/>
              <w:rPr>
                <w:sz w:val="18"/>
                <w:szCs w:val="18"/>
                <w:color w:val="auto"/>
              </w:rPr>
            </w:pPr>
          </w:p>
        </w:tc>
      </w:tr>
      <w:tr>
        <w:trPr>
          <w:trHeight w:val="238"/>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 Louis, Missouri</w:t>
            </w:r>
          </w:p>
        </w:tc>
        <w:tc>
          <w:tcPr>
            <w:tcW w:w="40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63131</w:t>
            </w:r>
          </w:p>
        </w:tc>
      </w:tr>
      <w:tr>
        <w:trPr>
          <w:trHeight w:val="256"/>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6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(314) 506-5500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center"/>
              <w:ind w:right="404"/>
              <w:spacing w:after="0"/>
              <w:rPr>
                <w:sz w:val="20"/>
                <w:szCs w:val="20"/>
                <w:color w:val="auto"/>
              </w:rPr>
            </w:pPr>
            <w:r>
              <w:rPr>
                <w:rFonts w:ascii="Times New Roman" w:cs="Times New Roman" w:eastAsia="Times New Roman" w:hAnsi="Times New Roman"/>
                <w:sz w:val="18"/>
                <w:szCs w:val="18"/>
                <w:color w:val="auto"/>
                <w:w w:val="98"/>
              </w:rPr>
              <w:t>Trading symbols</w:t>
            </w:r>
          </w:p>
        </w:tc>
        <w:tc>
          <w:tcPr>
            <w:tcW w:w="1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jc w:val="center"/>
              <w:ind w:right="6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0" w:type="dxa"/>
            <w:vAlign w:val="bottom"/>
          </w:tcPr>
          <w:p>
            <w:pPr>
              <w:spacing w:after="0"/>
              <w:rPr>
                <w:sz w:val="21"/>
                <w:szCs w:val="21"/>
                <w:color w:val="auto"/>
              </w:rPr>
            </w:pPr>
          </w:p>
        </w:tc>
        <w:tc>
          <w:tcPr>
            <w:tcW w:w="42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rPr>
              <w:t>Common stock, par value $.50</w:t>
            </w:r>
          </w:p>
        </w:tc>
        <w:tc>
          <w:tcPr>
            <w:tcW w:w="280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w w:val="97"/>
              </w:rPr>
              <w:t>CASS</w:t>
            </w:r>
          </w:p>
        </w:tc>
        <w:tc>
          <w:tcPr>
            <w:tcW w:w="41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486"/>
        </w:trPr>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0" w:type="dxa"/>
            <w:vAlign w:val="bottom"/>
            <w:gridSpan w:val="3"/>
          </w:tcPr>
          <w:p>
            <w:pPr>
              <w:jc w:val="right"/>
              <w:ind w:right="100"/>
              <w:spacing w:after="0"/>
              <w:rPr>
                <w:sz w:val="20"/>
                <w:szCs w:val="20"/>
                <w:color w:val="auto"/>
              </w:rPr>
            </w:pPr>
            <w:r>
              <w:rPr>
                <w:rFonts w:ascii="Arial" w:cs="Arial" w:eastAsia="Arial" w:hAnsi="Arial"/>
                <w:sz w:val="22"/>
                <w:szCs w:val="22"/>
                <w:color w:val="auto"/>
              </w:rPr>
              <w:t>____________________</w:t>
            </w:r>
          </w:p>
        </w:tc>
        <w:tc>
          <w:tcPr>
            <w:tcW w:w="4140" w:type="dxa"/>
            <w:vAlign w:val="bottom"/>
          </w:tcPr>
          <w:p>
            <w:pPr>
              <w:spacing w:after="0"/>
              <w:rPr>
                <w:sz w:val="24"/>
                <w:szCs w:val="24"/>
                <w:color w:val="auto"/>
              </w:rPr>
            </w:pPr>
          </w:p>
        </w:tc>
      </w:tr>
    </w:tbl>
    <w:p>
      <w:pPr>
        <w:spacing w:after="0" w:line="157"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6" w:lineRule="exact"/>
        <w:rPr>
          <w:sz w:val="24"/>
          <w:szCs w:val="24"/>
          <w:color w:val="auto"/>
        </w:rPr>
      </w:pPr>
    </w:p>
    <w:p>
      <w:pPr>
        <w:ind w:left="3240"/>
        <w:spacing w:after="0"/>
        <w:tabs>
          <w:tab w:leader="none" w:pos="3720" w:val="left"/>
          <w:tab w:leader="none" w:pos="4680" w:val="left"/>
          <w:tab w:leader="none" w:pos="506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25" w:lineRule="exact"/>
        <w:rPr>
          <w:sz w:val="24"/>
          <w:szCs w:val="24"/>
          <w:color w:val="auto"/>
        </w:rPr>
      </w:pPr>
    </w:p>
    <w:p>
      <w:pPr>
        <w:ind w:left="3240"/>
        <w:spacing w:after="0"/>
        <w:tabs>
          <w:tab w:leader="none" w:pos="3720" w:val="left"/>
          <w:tab w:leader="none" w:pos="4680" w:val="left"/>
          <w:tab w:leader="none" w:pos="512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Wingdings" w:cs="Wingdings" w:eastAsia="Wingdings" w:hAnsi="Wingdings"/>
          <w:sz w:val="17"/>
          <w:szCs w:val="17"/>
          <w:b w:val="1"/>
          <w:bCs w:val="1"/>
          <w:color w:val="auto"/>
        </w:rPr>
        <w:t>o</w:t>
      </w:r>
    </w:p>
    <w:p>
      <w:pPr>
        <w:spacing w:after="0" w:line="185"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0" w:gutter="0" w:footer="0" w:header="0"/>
        </w:sectPr>
      </w:pPr>
    </w:p>
    <w:p>
      <w:pPr>
        <w:spacing w:after="0" w:line="18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x</w:t>
      </w:r>
    </w:p>
    <w:p>
      <w:pPr>
        <w:spacing w:after="0" w:line="200" w:lineRule="exact"/>
        <w:rPr>
          <w:sz w:val="24"/>
          <w:szCs w:val="24"/>
          <w:color w:val="auto"/>
        </w:rPr>
      </w:pPr>
    </w:p>
    <w:p>
      <w:pPr>
        <w:sectPr>
          <w:pgSz w:w="11900" w:h="16838" w:orient="portrait"/>
          <w:cols w:equalWidth="0" w:num="4">
            <w:col w:w="2840" w:space="640"/>
            <w:col w:w="160" w:space="280"/>
            <w:col w:w="2040" w:space="720"/>
            <w:col w:w="4560"/>
          </w:cols>
          <w:pgMar w:left="320" w:top="225" w:right="339" w:bottom="0" w:gutter="0" w:footer="0" w:header="0"/>
          <w:type w:val="continuous"/>
        </w:sectPr>
      </w:pPr>
    </w:p>
    <w:p>
      <w:pPr>
        <w:spacing w:after="0" w:line="97"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jc w:val="center"/>
        <w:ind w:right="980"/>
        <w:spacing w:after="0"/>
        <w:rPr>
          <w:sz w:val="20"/>
          <w:szCs w:val="20"/>
          <w:color w:val="auto"/>
        </w:rPr>
      </w:pPr>
      <w:r>
        <w:rPr>
          <w:rFonts w:ascii="Wingdings" w:cs="Wingdings" w:eastAsia="Wingdings" w:hAnsi="Wingdings"/>
          <w:sz w:val="17"/>
          <w:szCs w:val="17"/>
          <w:b w:val="1"/>
          <w:bCs w:val="1"/>
          <w:color w:val="auto"/>
        </w:rPr>
        <w:t>o</w:t>
      </w:r>
    </w:p>
    <w:p>
      <w:pPr>
        <w:spacing w:after="0" w:line="200" w:lineRule="exact"/>
        <w:rPr>
          <w:sz w:val="24"/>
          <w:szCs w:val="24"/>
          <w:color w:val="auto"/>
        </w:rPr>
      </w:pPr>
    </w:p>
    <w:p>
      <w:pPr>
        <w:sectPr>
          <w:pgSz w:w="11900" w:h="16838" w:orient="portrait"/>
          <w:cols w:equalWidth="0" w:num="6">
            <w:col w:w="2760" w:space="720"/>
            <w:col w:w="160" w:space="280"/>
            <w:col w:w="2060" w:space="700"/>
            <w:col w:w="160" w:space="320"/>
            <w:col w:w="2220" w:space="720"/>
            <w:col w:w="1140"/>
          </w:cols>
          <w:pgMar w:left="320" w:top="225" w:right="339" w:bottom="0" w:gutter="0" w:footer="0" w:header="0"/>
          <w:type w:val="continuous"/>
        </w:sectPr>
      </w:pPr>
    </w:p>
    <w:p>
      <w:pPr>
        <w:spacing w:after="0" w:line="92"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42" w:lineRule="exact"/>
        <w:rPr>
          <w:sz w:val="24"/>
          <w:szCs w:val="24"/>
          <w:color w:val="auto"/>
        </w:rPr>
      </w:pPr>
    </w:p>
    <w:p>
      <w:pPr>
        <w:ind w:left="3240"/>
        <w:spacing w:after="0" w:line="209" w:lineRule="exact"/>
        <w:tabs>
          <w:tab w:leader="none" w:pos="3720" w:val="left"/>
          <w:tab w:leader="none" w:pos="4640" w:val="left"/>
          <w:tab w:leader="none" w:pos="5040" w:val="left"/>
        </w:tabs>
        <w:rPr>
          <w:sz w:val="20"/>
          <w:szCs w:val="20"/>
          <w:color w:val="auto"/>
        </w:rPr>
      </w:pPr>
      <w:r>
        <w:rPr>
          <w:rFonts w:ascii="Times New Roman" w:cs="Times New Roman" w:eastAsia="Times New Roman" w:hAnsi="Times New Roman"/>
          <w:sz w:val="18"/>
          <w:szCs w:val="18"/>
          <w:color w:val="auto"/>
        </w:rPr>
        <w:t>Yes</w:t>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Wingdings" w:cs="Wingdings" w:eastAsia="Wingdings" w:hAnsi="Wingdings"/>
          <w:sz w:val="18"/>
          <w:szCs w:val="18"/>
          <w:b w:val="1"/>
          <w:bCs w:val="1"/>
          <w:color w:val="auto"/>
        </w:rPr>
        <w:t>x</w:t>
      </w:r>
    </w:p>
    <w:p>
      <w:pPr>
        <w:spacing w:after="0" w:line="225" w:lineRule="exact"/>
        <w:rPr>
          <w:sz w:val="24"/>
          <w:szCs w:val="24"/>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number of shares outstanding of the registrant's only class of common stock as of May 1, 2026: Common stock, par value $.50 per share – 12,871,149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67"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 – Financial Information</w:t>
      </w:r>
    </w:p>
    <w:p>
      <w:pPr>
        <w:spacing w:after="0" w:line="54"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18"/>
          <w:szCs w:val="18"/>
          <w:u w:val="single" w:color="auto"/>
          <w:color w:val="0000FF"/>
        </w:rPr>
        <w:t>Item 1.</w:t>
      </w:r>
      <w:r>
        <w:rPr>
          <w:sz w:val="20"/>
          <w:szCs w:val="20"/>
          <w:color w:val="auto"/>
        </w:rPr>
        <w:tab/>
      </w:r>
      <w:r>
        <w:rPr>
          <w:rFonts w:ascii="Times New Roman" w:cs="Times New Roman" w:eastAsia="Times New Roman" w:hAnsi="Times New Roman"/>
          <w:sz w:val="17"/>
          <w:szCs w:val="17"/>
          <w:u w:val="single" w:color="auto"/>
          <w:color w:val="0000FF"/>
        </w:rPr>
        <w:t>FINANCIAL STATEMENTS</w:t>
      </w:r>
    </w:p>
    <w:p>
      <w:pPr>
        <w:spacing w:after="0" w:line="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FF"/>
        </w:rPr>
        <w:t>Consolidated Balance Sheets March 31, 2026 and December 31, 2025 (unaudited)</w:t>
      </w:r>
    </w:p>
    <w:p>
      <w:pPr>
        <w:spacing w:after="0" w:line="29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FF"/>
        </w:rPr>
        <w:t>Consolidated Statements of Income Three Months Ended March 31, 2026 and 2025 (unaudited)</w:t>
      </w:r>
    </w:p>
    <w:p>
      <w:pPr>
        <w:spacing w:after="0" w:line="29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Comprehensive Income Three Months Ended March 31, 2026 and 2025 (unaudited)</w:t>
      </w:r>
    </w:p>
    <w:p>
      <w:pPr>
        <w:spacing w:after="0" w:line="29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 Three Months Ended March 31, 2026 and 2025 (unaudited)</w:t>
      </w:r>
    </w:p>
    <w:p>
      <w:pPr>
        <w:spacing w:after="0" w:line="29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FF"/>
        </w:rPr>
        <w:t>Consolidated Statements of Shareholders’ Equity Three Months Ended March 31, 2026 and 2025 (unaudited)</w:t>
      </w:r>
    </w:p>
    <w:p>
      <w:pPr>
        <w:spacing w:after="0" w:line="29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 (unaudited)</w:t>
      </w:r>
    </w:p>
    <w:p>
      <w:pPr>
        <w:spacing w:after="0" w:line="50" w:lineRule="exact"/>
        <w:rPr>
          <w:sz w:val="20"/>
          <w:szCs w:val="20"/>
          <w:color w:val="auto"/>
        </w:rPr>
      </w:pPr>
    </w:p>
    <w:p>
      <w:pPr>
        <w:ind w:left="300"/>
        <w:spacing w:after="0" w:line="295" w:lineRule="auto"/>
        <w:rPr>
          <w:sz w:val="20"/>
          <w:szCs w:val="20"/>
          <w:color w:val="auto"/>
        </w:rPr>
      </w:pPr>
      <w:r>
        <w:rPr>
          <w:rFonts w:ascii="Times New Roman" w:cs="Times New Roman" w:eastAsia="Times New Roman" w:hAnsi="Times New Roman"/>
          <w:sz w:val="18"/>
          <w:szCs w:val="18"/>
          <w:u w:val="single" w:color="auto"/>
          <w:color w:val="0000FF"/>
        </w:rPr>
        <w:t>Item 2. MANAGEMENT’S DISCUSSION AND ANALYSIS OF FINANCIAL CONDITION AND RESULTS OF OPERATIONS Item 3. QUANTITATIVE AND QUALITATIVE DISCLOSURES ABOUT MARKET RISK Item 4. CONTROLS AND PROCEDURES</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II – Other Information – Items 1. – 6.</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 Factors That May Affect Future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w:t>
      </w: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6</w:t>
      </w: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7</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37</w:t>
      </w:r>
    </w:p>
    <w:p>
      <w:pPr>
        <w:spacing w:after="0" w:line="670" w:lineRule="exact"/>
        <w:rPr>
          <w:sz w:val="20"/>
          <w:szCs w:val="20"/>
          <w:color w:val="auto"/>
        </w:rPr>
      </w:pPr>
    </w:p>
    <w:p>
      <w:pPr>
        <w:sectPr>
          <w:pgSz w:w="11900" w:h="16838" w:orient="portrait"/>
          <w:cols w:equalWidth="0" w:num="2">
            <w:col w:w="10080" w:space="660"/>
            <w:col w:w="500"/>
          </w:cols>
          <w:pgMar w:left="320" w:top="117" w:right="339" w:bottom="1440" w:gutter="0" w:footer="0" w:header="0"/>
        </w:sect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Part I, Item 1A, “Risk Factors” of the Company’s 2025 Annual Report on Form 10-K, filed with the Securities and Exchange Commission (“SEC”), which may be updated from time to time in our future filings with the SEC. We undertake no obligation to publicly update or revise any forward-looking statements to reflect changed assumptions, the occurrence of anticipated or unanticipated events, or changes to future results over time.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50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CASS INFORMATION SYSTEMS, INC. AND SUBSIDIARIES</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50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50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50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65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26,129</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Borders>
              <w:bottom w:val="single" w:sz="8" w:color="auto"/>
            </w:tcBorders>
            <w:shd w:val="clear" w:color="auto" w:fill="B6B6B6"/>
          </w:tcPr>
          <w:p>
            <w:pPr>
              <w:spacing w:after="0"/>
              <w:rPr>
                <w:sz w:val="22"/>
                <w:szCs w:val="22"/>
                <w:color w:val="auto"/>
              </w:rPr>
            </w:pPr>
          </w:p>
        </w:tc>
        <w:tc>
          <w:tcPr>
            <w:tcW w:w="13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209,422</w:t>
            </w:r>
          </w:p>
        </w:tc>
        <w:tc>
          <w:tcPr>
            <w:tcW w:w="100" w:type="dxa"/>
            <w:vAlign w:val="bottom"/>
            <w:shd w:val="clear" w:color="auto" w:fill="B6B6B6"/>
          </w:tcPr>
          <w:p>
            <w:pPr>
              <w:spacing w:after="0"/>
              <w:rPr>
                <w:sz w:val="22"/>
                <w:szCs w:val="22"/>
                <w:color w:val="auto"/>
              </w:rPr>
            </w:pPr>
          </w:p>
        </w:tc>
        <w:tc>
          <w:tcPr>
            <w:tcW w:w="1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366,139</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tcBorders>
              <w:bottom w:val="single" w:sz="8" w:color="B6B6B6"/>
            </w:tcBorders>
            <w:gridSpan w:val="3"/>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244,343</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392,268</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Investment securities available-for-sale, at fair value</w:t>
            </w:r>
          </w:p>
        </w:tc>
        <w:tc>
          <w:tcPr>
            <w:tcW w:w="14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785,343</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770,772</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Loans</w:t>
            </w:r>
          </w:p>
        </w:tc>
        <w:tc>
          <w:tcPr>
            <w:tcW w:w="14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1,088,730</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1,061,217</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tcBorders>
              <w:bottom w:val="single" w:sz="8" w:color="B6B6B6"/>
            </w:tcBorders>
            <w:gridSpan w:val="3"/>
          </w:tcPr>
          <w:p>
            <w:pPr>
              <w:ind w:left="34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13,861</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13,597</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gridSpan w:val="3"/>
            <w:shd w:val="clear" w:color="auto" w:fill="B6B6B6"/>
          </w:tcPr>
          <w:p>
            <w:pPr>
              <w:ind w:left="660"/>
              <w:spacing w:after="0"/>
              <w:rPr>
                <w:sz w:val="20"/>
                <w:szCs w:val="20"/>
                <w:color w:val="auto"/>
              </w:rPr>
            </w:pPr>
            <w:r>
              <w:rPr>
                <w:rFonts w:ascii="Times New Roman" w:cs="Times New Roman" w:eastAsia="Times New Roman" w:hAnsi="Times New Roman"/>
                <w:sz w:val="18"/>
                <w:szCs w:val="18"/>
                <w:color w:val="auto"/>
              </w:rPr>
              <w:t>Loans, net</w:t>
            </w:r>
          </w:p>
        </w:tc>
        <w:tc>
          <w:tcPr>
            <w:tcW w:w="140" w:type="dxa"/>
            <w:vAlign w:val="bottom"/>
            <w:tcBorders>
              <w:bottom w:val="single" w:sz="8" w:color="auto"/>
            </w:tcBorders>
            <w:shd w:val="clear" w:color="auto" w:fill="B6B6B6"/>
          </w:tcPr>
          <w:p>
            <w:pPr>
              <w:spacing w:after="0"/>
              <w:rPr>
                <w:sz w:val="21"/>
                <w:szCs w:val="21"/>
                <w:color w:val="auto"/>
              </w:rPr>
            </w:pPr>
          </w:p>
        </w:tc>
        <w:tc>
          <w:tcPr>
            <w:tcW w:w="13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1,074,869</w:t>
            </w:r>
          </w:p>
        </w:tc>
        <w:tc>
          <w:tcPr>
            <w:tcW w:w="100" w:type="dxa"/>
            <w:vAlign w:val="bottom"/>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spacing w:after="0"/>
              <w:rPr>
                <w:sz w:val="21"/>
                <w:szCs w:val="21"/>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1,047,620</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Payments in advance of funding</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164,514</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4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29,903</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29,449</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in bank-owned life insurance</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52,195</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16,164</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16,164</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Accounts and drafts receivable from customers</w:t>
            </w:r>
          </w:p>
        </w:tc>
        <w:tc>
          <w:tcPr>
            <w:tcW w:w="14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69,425</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tcBorders>
              <w:bottom w:val="single" w:sz="8" w:color="B6B6B6"/>
            </w:tcBorders>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61,490</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59,889</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8080" w:type="dxa"/>
            <w:vAlign w:val="bottom"/>
            <w:tcBorders>
              <w:bottom w:val="single" w:sz="8" w:color="B6B6B6"/>
            </w:tcBorders>
            <w:gridSpan w:val="3"/>
            <w:shd w:val="clear" w:color="auto" w:fill="B6B6B6"/>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2,533,791</w:t>
            </w:r>
          </w:p>
        </w:tc>
        <w:tc>
          <w:tcPr>
            <w:tcW w:w="100" w:type="dxa"/>
            <w:vAlign w:val="bottom"/>
            <w:tcBorders>
              <w:bottom w:val="single" w:sz="8" w:color="B6B6B6"/>
            </w:tcBorders>
            <w:shd w:val="clear" w:color="auto" w:fill="B6B6B6"/>
          </w:tcPr>
          <w:p>
            <w:pPr>
              <w:spacing w:after="0"/>
              <w:rPr>
                <w:sz w:val="24"/>
                <w:szCs w:val="24"/>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2,606,024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Borders>
              <w:top w:val="single" w:sz="8" w:color="B6B6B6"/>
            </w:tcBorders>
          </w:tcPr>
          <w:p>
            <w:pPr>
              <w:spacing w:after="0" w:line="20" w:lineRule="exact"/>
              <w:rPr>
                <w:sz w:val="1"/>
                <w:szCs w:val="1"/>
                <w:color w:val="auto"/>
              </w:rPr>
            </w:pPr>
          </w:p>
        </w:tc>
        <w:tc>
          <w:tcPr>
            <w:tcW w:w="800" w:type="dxa"/>
            <w:vAlign w:val="bottom"/>
            <w:tcBorders>
              <w:top w:val="single" w:sz="8" w:color="B6B6B6"/>
            </w:tcBorders>
          </w:tcPr>
          <w:p>
            <w:pPr>
              <w:spacing w:after="0" w:line="20" w:lineRule="exact"/>
              <w:rPr>
                <w:sz w:val="1"/>
                <w:szCs w:val="1"/>
                <w:color w:val="auto"/>
              </w:rPr>
            </w:pPr>
          </w:p>
        </w:tc>
        <w:tc>
          <w:tcPr>
            <w:tcW w:w="6500" w:type="dxa"/>
            <w:vAlign w:val="bottom"/>
            <w:tcBorders>
              <w:top w:val="single" w:sz="8" w:color="B6B6B6"/>
            </w:tcBorders>
          </w:tcPr>
          <w:p>
            <w:pPr>
              <w:spacing w:after="0" w:line="20" w:lineRule="exact"/>
              <w:rPr>
                <w:sz w:val="1"/>
                <w:szCs w:val="1"/>
                <w:color w:val="auto"/>
              </w:rPr>
            </w:pPr>
          </w:p>
        </w:tc>
        <w:tc>
          <w:tcPr>
            <w:tcW w:w="140" w:type="dxa"/>
            <w:vAlign w:val="bottom"/>
            <w:tcBorders>
              <w:top w:val="single" w:sz="8" w:color="B6B6B6"/>
              <w:bottom w:val="single" w:sz="8" w:color="auto"/>
            </w:tcBorders>
          </w:tcPr>
          <w:p>
            <w:pPr>
              <w:spacing w:after="0" w:line="20" w:lineRule="exact"/>
              <w:rPr>
                <w:sz w:val="1"/>
                <w:szCs w:val="1"/>
                <w:color w:val="auto"/>
              </w:rPr>
            </w:pPr>
          </w:p>
        </w:tc>
        <w:tc>
          <w:tcPr>
            <w:tcW w:w="138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32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0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Deposits:</w:t>
            </w:r>
          </w:p>
        </w:tc>
        <w:tc>
          <w:tcPr>
            <w:tcW w:w="14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Noninterest-bearing</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513,434</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080" w:type="dxa"/>
            <w:vAlign w:val="bottom"/>
            <w:gridSpan w:val="3"/>
            <w:shd w:val="clear" w:color="auto" w:fill="B6B6B6"/>
          </w:tcPr>
          <w:p>
            <w:pPr>
              <w:ind w:left="340"/>
              <w:spacing w:after="0"/>
              <w:rPr>
                <w:sz w:val="20"/>
                <w:szCs w:val="20"/>
                <w:color w:val="auto"/>
              </w:rPr>
            </w:pPr>
            <w:r>
              <w:rPr>
                <w:rFonts w:ascii="Times New Roman" w:cs="Times New Roman" w:eastAsia="Times New Roman" w:hAnsi="Times New Roman"/>
                <w:sz w:val="18"/>
                <w:szCs w:val="18"/>
                <w:color w:val="auto"/>
              </w:rPr>
              <w:t>Interest-bearing</w:t>
            </w:r>
          </w:p>
        </w:tc>
        <w:tc>
          <w:tcPr>
            <w:tcW w:w="140" w:type="dxa"/>
            <w:vAlign w:val="bottom"/>
            <w:tcBorders>
              <w:bottom w:val="single" w:sz="8" w:color="auto"/>
            </w:tcBorders>
            <w:shd w:val="clear" w:color="auto" w:fill="B6B6B6"/>
          </w:tcPr>
          <w:p>
            <w:pPr>
              <w:spacing w:after="0"/>
              <w:rPr>
                <w:sz w:val="22"/>
                <w:szCs w:val="22"/>
                <w:color w:val="auto"/>
              </w:rPr>
            </w:pPr>
          </w:p>
        </w:tc>
        <w:tc>
          <w:tcPr>
            <w:tcW w:w="13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699,570</w:t>
            </w:r>
          </w:p>
        </w:tc>
        <w:tc>
          <w:tcPr>
            <w:tcW w:w="100" w:type="dxa"/>
            <w:vAlign w:val="bottom"/>
            <w:shd w:val="clear" w:color="auto" w:fill="B6B6B6"/>
          </w:tcPr>
          <w:p>
            <w:pPr>
              <w:spacing w:after="0"/>
              <w:rPr>
                <w:sz w:val="22"/>
                <w:szCs w:val="22"/>
                <w:color w:val="auto"/>
              </w:rPr>
            </w:pPr>
          </w:p>
        </w:tc>
        <w:tc>
          <w:tcPr>
            <w:tcW w:w="1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686,599</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tcBorders>
              <w:bottom w:val="single" w:sz="8" w:color="B6B6B6"/>
            </w:tcBorders>
            <w:gridSpan w:val="3"/>
          </w:tcPr>
          <w:p>
            <w:pPr>
              <w:spacing w:after="0"/>
              <w:rPr>
                <w:sz w:val="20"/>
                <w:szCs w:val="20"/>
                <w:color w:val="auto"/>
              </w:rPr>
            </w:pPr>
            <w:r>
              <w:rPr>
                <w:rFonts w:ascii="Times New Roman" w:cs="Times New Roman" w:eastAsia="Times New Roman" w:hAnsi="Times New Roman"/>
                <w:sz w:val="18"/>
                <w:szCs w:val="18"/>
                <w:color w:val="auto"/>
              </w:rPr>
              <w:t>Total deposits</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1,105,683</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1,200,033</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14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1,000,154</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1,124,858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shd w:val="clear" w:color="auto" w:fill="B6B6B6"/>
          </w:tcPr>
          <w:p>
            <w:pPr>
              <w:spacing w:after="0"/>
              <w:rPr>
                <w:sz w:val="22"/>
                <w:szCs w:val="22"/>
                <w:color w:val="auto"/>
              </w:rPr>
            </w:pPr>
          </w:p>
        </w:tc>
        <w:tc>
          <w:tcPr>
            <w:tcW w:w="13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41,162</w:t>
            </w:r>
          </w:p>
        </w:tc>
        <w:tc>
          <w:tcPr>
            <w:tcW w:w="100" w:type="dxa"/>
            <w:vAlign w:val="bottom"/>
            <w:shd w:val="clear" w:color="auto" w:fill="B6B6B6"/>
          </w:tcPr>
          <w:p>
            <w:pPr>
              <w:spacing w:after="0"/>
              <w:rPr>
                <w:sz w:val="22"/>
                <w:szCs w:val="22"/>
                <w:color w:val="auto"/>
              </w:rPr>
            </w:pPr>
          </w:p>
        </w:tc>
        <w:tc>
          <w:tcPr>
            <w:tcW w:w="1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38,135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tcBorders>
              <w:bottom w:val="single" w:sz="8" w:color="B6B6B6"/>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2,291,999</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2,363,026</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780" w:type="dxa"/>
            <w:vAlign w:val="bottom"/>
            <w:shd w:val="clear" w:color="auto" w:fill="B6B6B6"/>
          </w:tcPr>
          <w:p>
            <w:pPr>
              <w:spacing w:after="0"/>
              <w:rPr>
                <w:sz w:val="7"/>
                <w:szCs w:val="7"/>
                <w:color w:val="auto"/>
              </w:rPr>
            </w:pPr>
          </w:p>
        </w:tc>
        <w:tc>
          <w:tcPr>
            <w:tcW w:w="800" w:type="dxa"/>
            <w:vAlign w:val="bottom"/>
            <w:shd w:val="clear" w:color="auto" w:fill="B6B6B6"/>
          </w:tcPr>
          <w:p>
            <w:pPr>
              <w:spacing w:after="0"/>
              <w:rPr>
                <w:sz w:val="7"/>
                <w:szCs w:val="7"/>
                <w:color w:val="auto"/>
              </w:rPr>
            </w:pPr>
          </w:p>
        </w:tc>
        <w:tc>
          <w:tcPr>
            <w:tcW w:w="6500" w:type="dxa"/>
            <w:vAlign w:val="bottom"/>
            <w:shd w:val="clear" w:color="auto" w:fill="B6B6B6"/>
          </w:tcPr>
          <w:p>
            <w:pPr>
              <w:spacing w:after="0"/>
              <w:rPr>
                <w:sz w:val="7"/>
                <w:szCs w:val="7"/>
                <w:color w:val="auto"/>
              </w:rPr>
            </w:pPr>
          </w:p>
        </w:tc>
        <w:tc>
          <w:tcPr>
            <w:tcW w:w="140" w:type="dxa"/>
            <w:vAlign w:val="bottom"/>
            <w:shd w:val="clear" w:color="auto" w:fill="B6B6B6"/>
          </w:tcPr>
          <w:p>
            <w:pPr>
              <w:spacing w:after="0"/>
              <w:rPr>
                <w:sz w:val="7"/>
                <w:szCs w:val="7"/>
                <w:color w:val="auto"/>
              </w:rPr>
            </w:pPr>
          </w:p>
        </w:tc>
        <w:tc>
          <w:tcPr>
            <w:tcW w:w="1380" w:type="dxa"/>
            <w:vAlign w:val="bottom"/>
            <w:shd w:val="clear" w:color="auto" w:fill="B6B6B6"/>
          </w:tcPr>
          <w:p>
            <w:pPr>
              <w:spacing w:after="0"/>
              <w:rPr>
                <w:sz w:val="7"/>
                <w:szCs w:val="7"/>
                <w:color w:val="auto"/>
              </w:rPr>
            </w:pPr>
          </w:p>
        </w:tc>
        <w:tc>
          <w:tcPr>
            <w:tcW w:w="100" w:type="dxa"/>
            <w:vAlign w:val="bottom"/>
            <w:shd w:val="clear" w:color="auto" w:fill="B6B6B6"/>
          </w:tcPr>
          <w:p>
            <w:pPr>
              <w:spacing w:after="0"/>
              <w:rPr>
                <w:sz w:val="7"/>
                <w:szCs w:val="7"/>
                <w:color w:val="auto"/>
              </w:rPr>
            </w:pPr>
          </w:p>
        </w:tc>
        <w:tc>
          <w:tcPr>
            <w:tcW w:w="160" w:type="dxa"/>
            <w:vAlign w:val="bottom"/>
            <w:shd w:val="clear" w:color="auto" w:fill="B6B6B6"/>
          </w:tcPr>
          <w:p>
            <w:pPr>
              <w:spacing w:after="0"/>
              <w:rPr>
                <w:sz w:val="7"/>
                <w:szCs w:val="7"/>
                <w:color w:val="auto"/>
              </w:rPr>
            </w:pPr>
          </w:p>
        </w:tc>
        <w:tc>
          <w:tcPr>
            <w:tcW w:w="1320" w:type="dxa"/>
            <w:vAlign w:val="bottom"/>
            <w:shd w:val="clear" w:color="auto" w:fill="B6B6B6"/>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0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Preferred stock, par value $.50 per share; 2,000,000 shares authorized and no shares issued</w:t>
            </w:r>
          </w:p>
        </w:tc>
        <w:tc>
          <w:tcPr>
            <w:tcW w:w="140" w:type="dxa"/>
            <w:vAlign w:val="bottom"/>
            <w:shd w:val="clear" w:color="auto" w:fill="B6B6B6"/>
          </w:tcPr>
          <w:p>
            <w:pPr>
              <w:spacing w:after="0"/>
              <w:rPr>
                <w:sz w:val="22"/>
                <w:szCs w:val="22"/>
                <w:color w:val="auto"/>
              </w:rPr>
            </w:pPr>
          </w:p>
        </w:tc>
        <w:tc>
          <w:tcPr>
            <w:tcW w:w="148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par value $.50 per share; 40,000,000 shares authorized and 15,505,772 shares issued at</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080" w:type="dxa"/>
            <w:vAlign w:val="bottom"/>
            <w:gridSpan w:val="3"/>
          </w:tcPr>
          <w:p>
            <w:pPr>
              <w:ind w:left="160"/>
              <w:spacing w:after="0" w:line="202" w:lineRule="exact"/>
              <w:rPr>
                <w:sz w:val="20"/>
                <w:szCs w:val="20"/>
                <w:color w:val="auto"/>
              </w:rPr>
            </w:pPr>
            <w:r>
              <w:rPr>
                <w:rFonts w:ascii="Times New Roman" w:cs="Times New Roman" w:eastAsia="Times New Roman" w:hAnsi="Times New Roman"/>
                <w:sz w:val="18"/>
                <w:szCs w:val="18"/>
                <w:color w:val="auto"/>
              </w:rPr>
              <w:t>March 31, 2026 and December 31, 2025; 12,869,521 and 12,917,637 shares outstanding at March 31, 2026</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8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and December 31, 2025, respectively.</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206,807</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207,052</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167,092</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Common shares in treasury, at cost (2,636,251 shares at March 31, 2026 and 2,588,135 shares at December 31,</w:t>
            </w:r>
          </w:p>
        </w:tc>
        <w:tc>
          <w:tcPr>
            <w:tcW w:w="140" w:type="dxa"/>
            <w:vAlign w:val="bottom"/>
            <w:shd w:val="clear" w:color="auto" w:fill="B6B6B6"/>
          </w:tcPr>
          <w:p>
            <w:pPr>
              <w:spacing w:after="0"/>
              <w:rPr>
                <w:sz w:val="20"/>
                <w:szCs w:val="20"/>
                <w:color w:val="auto"/>
              </w:rPr>
            </w:pPr>
          </w:p>
        </w:tc>
        <w:tc>
          <w:tcPr>
            <w:tcW w:w="138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(114,366)</w:t>
            </w:r>
          </w:p>
        </w:tc>
        <w:tc>
          <w:tcPr>
            <w:tcW w:w="100" w:type="dxa"/>
            <w:vAlign w:val="bottom"/>
            <w:shd w:val="clear" w:color="auto" w:fill="B6B6B6"/>
          </w:tcPr>
          <w:p>
            <w:pPr>
              <w:spacing w:after="0"/>
              <w:rPr>
                <w:sz w:val="20"/>
                <w:szCs w:val="20"/>
                <w:color w:val="auto"/>
              </w:rPr>
            </w:pPr>
          </w:p>
        </w:tc>
        <w:tc>
          <w:tcPr>
            <w:tcW w:w="160" w:type="dxa"/>
            <w:vAlign w:val="bottom"/>
            <w:shd w:val="clear" w:color="auto" w:fill="B6B6B6"/>
          </w:tcPr>
          <w:p>
            <w:pPr>
              <w:spacing w:after="0"/>
              <w:rPr>
                <w:sz w:val="20"/>
                <w:szCs w:val="20"/>
                <w:color w:val="auto"/>
              </w:rPr>
            </w:pPr>
          </w:p>
        </w:tc>
        <w:tc>
          <w:tcPr>
            <w:tcW w:w="132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(112,148)</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78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2025)</w:t>
            </w:r>
          </w:p>
        </w:tc>
        <w:tc>
          <w:tcPr>
            <w:tcW w:w="800" w:type="dxa"/>
            <w:vAlign w:val="bottom"/>
            <w:shd w:val="clear" w:color="auto" w:fill="B6B6B6"/>
          </w:tcPr>
          <w:p>
            <w:pPr>
              <w:spacing w:after="0"/>
              <w:rPr>
                <w:sz w:val="20"/>
                <w:szCs w:val="20"/>
                <w:color w:val="auto"/>
              </w:rPr>
            </w:pPr>
          </w:p>
        </w:tc>
        <w:tc>
          <w:tcPr>
            <w:tcW w:w="6500" w:type="dxa"/>
            <w:vAlign w:val="bottom"/>
            <w:shd w:val="clear" w:color="auto" w:fill="B6B6B6"/>
          </w:tcPr>
          <w:p>
            <w:pPr>
              <w:spacing w:after="0"/>
              <w:rPr>
                <w:sz w:val="20"/>
                <w:szCs w:val="20"/>
                <w:color w:val="auto"/>
              </w:rPr>
            </w:pPr>
          </w:p>
        </w:tc>
        <w:tc>
          <w:tcPr>
            <w:tcW w:w="140" w:type="dxa"/>
            <w:vAlign w:val="bottom"/>
            <w:shd w:val="clear" w:color="auto" w:fill="B6B6B6"/>
          </w:tcPr>
          <w:p>
            <w:pPr>
              <w:spacing w:after="0"/>
              <w:rPr>
                <w:sz w:val="20"/>
                <w:szCs w:val="20"/>
                <w:color w:val="auto"/>
              </w:rPr>
            </w:pPr>
          </w:p>
        </w:tc>
        <w:tc>
          <w:tcPr>
            <w:tcW w:w="1380" w:type="dxa"/>
            <w:vAlign w:val="bottom"/>
            <w:vMerge w:val="continue"/>
            <w:shd w:val="clear" w:color="auto" w:fill="B6B6B6"/>
          </w:tcPr>
          <w:p>
            <w:pPr>
              <w:spacing w:after="0"/>
              <w:rPr>
                <w:sz w:val="20"/>
                <w:szCs w:val="20"/>
                <w:color w:val="auto"/>
              </w:rPr>
            </w:pPr>
          </w:p>
        </w:tc>
        <w:tc>
          <w:tcPr>
            <w:tcW w:w="100" w:type="dxa"/>
            <w:vAlign w:val="bottom"/>
            <w:shd w:val="clear" w:color="auto" w:fill="B6B6B6"/>
          </w:tcPr>
          <w:p>
            <w:pPr>
              <w:spacing w:after="0"/>
              <w:rPr>
                <w:sz w:val="20"/>
                <w:szCs w:val="20"/>
                <w:color w:val="auto"/>
              </w:rPr>
            </w:pPr>
          </w:p>
        </w:tc>
        <w:tc>
          <w:tcPr>
            <w:tcW w:w="160" w:type="dxa"/>
            <w:vAlign w:val="bottom"/>
            <w:shd w:val="clear" w:color="auto" w:fill="B6B6B6"/>
          </w:tcPr>
          <w:p>
            <w:pPr>
              <w:spacing w:after="0"/>
              <w:rPr>
                <w:sz w:val="20"/>
                <w:szCs w:val="20"/>
                <w:color w:val="auto"/>
              </w:rPr>
            </w:pPr>
          </w:p>
        </w:tc>
        <w:tc>
          <w:tcPr>
            <w:tcW w:w="1320" w:type="dxa"/>
            <w:vAlign w:val="bottom"/>
            <w:vMerge w:val="continue"/>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tcBorders>
              <w:bottom w:val="single" w:sz="8" w:color="B6B6B6"/>
            </w:tcBorders>
            <w:gridSpan w:val="3"/>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(30,199)</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(26,751)</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gridSpan w:val="3"/>
            <w:shd w:val="clear" w:color="auto" w:fill="B6B6B6"/>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bottom w:val="single" w:sz="8" w:color="auto"/>
            </w:tcBorders>
            <w:shd w:val="clear" w:color="auto" w:fill="B6B6B6"/>
          </w:tcPr>
          <w:p>
            <w:pPr>
              <w:spacing w:after="0"/>
              <w:rPr>
                <w:sz w:val="21"/>
                <w:szCs w:val="21"/>
                <w:color w:val="auto"/>
              </w:rPr>
            </w:pPr>
          </w:p>
        </w:tc>
        <w:tc>
          <w:tcPr>
            <w:tcW w:w="13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241,792</w:t>
            </w:r>
          </w:p>
        </w:tc>
        <w:tc>
          <w:tcPr>
            <w:tcW w:w="100" w:type="dxa"/>
            <w:vAlign w:val="bottom"/>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spacing w:after="0"/>
              <w:rPr>
                <w:sz w:val="21"/>
                <w:szCs w:val="21"/>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242,998</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80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2,533,791</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2,606,024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2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94"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1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12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0"/>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20" w:type="dxa"/>
            <w:vAlign w:val="bottom"/>
            <w:tcBorders>
              <w:bottom w:val="single" w:sz="8" w:color="B6B6B6"/>
            </w:tcBorders>
            <w:shd w:val="clear" w:color="auto" w:fill="B6B6B6"/>
          </w:tcPr>
          <w:p>
            <w:pPr>
              <w:spacing w:after="0"/>
              <w:rPr>
                <w:sz w:val="20"/>
                <w:szCs w:val="20"/>
                <w:color w:val="auto"/>
              </w:rPr>
            </w:pPr>
            <w:r>
              <w:rPr>
                <w:rFonts w:ascii="Times New Roman" w:cs="Times New Roman" w:eastAsia="Times New Roman" w:hAnsi="Times New Roman"/>
                <w:sz w:val="16"/>
                <w:szCs w:val="16"/>
                <w:b w:val="1"/>
                <w:bCs w:val="1"/>
                <w:color w:val="auto"/>
              </w:rPr>
              <w:t>Fee Revenue and Other Income:</w:t>
            </w:r>
          </w:p>
        </w:tc>
        <w:tc>
          <w:tcPr>
            <w:tcW w:w="940" w:type="dxa"/>
            <w:vAlign w:val="bottom"/>
            <w:tcBorders>
              <w:bottom w:val="single" w:sz="8" w:color="B6B6B6"/>
            </w:tcBorders>
            <w:shd w:val="clear" w:color="auto" w:fill="B6B6B6"/>
          </w:tcPr>
          <w:p>
            <w:pPr>
              <w:spacing w:after="0"/>
              <w:rPr>
                <w:sz w:val="19"/>
                <w:szCs w:val="19"/>
                <w:color w:val="auto"/>
              </w:rPr>
            </w:pPr>
          </w:p>
        </w:tc>
        <w:tc>
          <w:tcPr>
            <w:tcW w:w="540" w:type="dxa"/>
            <w:vAlign w:val="bottom"/>
            <w:tcBorders>
              <w:bottom w:val="single" w:sz="8" w:color="B6B6B6"/>
            </w:tcBorders>
            <w:shd w:val="clear" w:color="auto" w:fill="B6B6B6"/>
          </w:tcPr>
          <w:p>
            <w:pPr>
              <w:spacing w:after="0"/>
              <w:rPr>
                <w:sz w:val="19"/>
                <w:szCs w:val="19"/>
                <w:color w:val="auto"/>
              </w:rPr>
            </w:pP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spacing w:after="0"/>
              <w:rPr>
                <w:sz w:val="19"/>
                <w:szCs w:val="19"/>
                <w:color w:val="auto"/>
              </w:rPr>
            </w:pPr>
          </w:p>
        </w:tc>
      </w:tr>
      <w:tr>
        <w:trPr>
          <w:trHeight w:val="210"/>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Processing fees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16,469</w:t>
            </w:r>
          </w:p>
        </w:tc>
      </w:tr>
      <w:tr>
        <w:trPr>
          <w:trHeight w:val="33"/>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20" w:type="dxa"/>
            <w:vAlign w:val="bottom"/>
            <w:tcBorders>
              <w:bottom w:val="single" w:sz="8" w:color="B6B6B6"/>
            </w:tcBorders>
            <w:shd w:val="clear" w:color="auto" w:fill="B6B6B6"/>
          </w:tcPr>
          <w:p>
            <w:pPr>
              <w:spacing w:after="0"/>
              <w:rPr>
                <w:sz w:val="20"/>
                <w:szCs w:val="20"/>
                <w:color w:val="auto"/>
              </w:rPr>
            </w:pPr>
            <w:r>
              <w:rPr>
                <w:rFonts w:ascii="Times New Roman" w:cs="Times New Roman" w:eastAsia="Times New Roman" w:hAnsi="Times New Roman"/>
                <w:sz w:val="16"/>
                <w:szCs w:val="16"/>
                <w:color w:val="auto"/>
              </w:rPr>
              <w:t>Financial fees</w:t>
            </w:r>
          </w:p>
        </w:tc>
        <w:tc>
          <w:tcPr>
            <w:tcW w:w="940" w:type="dxa"/>
            <w:vAlign w:val="bottom"/>
            <w:tcBorders>
              <w:bottom w:val="single" w:sz="8" w:color="B6B6B6"/>
            </w:tcBorders>
            <w:shd w:val="clear" w:color="auto" w:fill="B6B6B6"/>
          </w:tcPr>
          <w:p>
            <w:pPr>
              <w:spacing w:after="0"/>
              <w:rPr>
                <w:sz w:val="19"/>
                <w:szCs w:val="19"/>
                <w:color w:val="auto"/>
              </w:rPr>
            </w:pP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10,431</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9,961</w:t>
            </w:r>
          </w:p>
        </w:tc>
      </w:tr>
      <w:tr>
        <w:trPr>
          <w:trHeight w:val="210"/>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Gain (loss) on sale of investment securities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33"/>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20" w:type="dxa"/>
            <w:vAlign w:val="bottom"/>
            <w:tcBorders>
              <w:bottom w:val="single" w:sz="8" w:color="B6B6B6"/>
            </w:tcBorders>
            <w:shd w:val="clear" w:color="auto" w:fill="B6B6B6"/>
          </w:tcPr>
          <w:p>
            <w:pPr>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Borders>
              <w:bottom w:val="single" w:sz="8" w:color="B6B6B6"/>
            </w:tcBorders>
            <w:shd w:val="clear" w:color="auto" w:fill="B6B6B6"/>
          </w:tcPr>
          <w:p>
            <w:pPr>
              <w:spacing w:after="0"/>
              <w:rPr>
                <w:sz w:val="21"/>
                <w:szCs w:val="21"/>
                <w:color w:val="auto"/>
              </w:rPr>
            </w:pP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100" w:type="dxa"/>
            <w:vAlign w:val="bottom"/>
            <w:tcBorders>
              <w:bottom w:val="single" w:sz="8" w:color="B6B6B6"/>
            </w:tcBorders>
            <w:shd w:val="clear" w:color="auto" w:fill="B6B6B6"/>
          </w:tcPr>
          <w:p>
            <w:pPr>
              <w:spacing w:after="0"/>
              <w:rPr>
                <w:sz w:val="21"/>
                <w:szCs w:val="21"/>
                <w:color w:val="auto"/>
              </w:rPr>
            </w:pP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1,626</w:t>
            </w:r>
          </w:p>
        </w:tc>
      </w:tr>
      <w:tr>
        <w:trPr>
          <w:trHeight w:val="204"/>
        </w:trPr>
        <w:tc>
          <w:tcPr>
            <w:tcW w:w="8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fee revenue and other income</w:t>
            </w: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27,946</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28,038</w:t>
            </w:r>
          </w:p>
        </w:tc>
      </w:tr>
      <w:tr>
        <w:trPr>
          <w:trHeight w:val="33"/>
        </w:trPr>
        <w:tc>
          <w:tcPr>
            <w:tcW w:w="8120" w:type="dxa"/>
            <w:vAlign w:val="bottom"/>
            <w:tcBorders>
              <w:bottom w:val="single" w:sz="8" w:color="B6B6B6"/>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88"/>
        </w:trPr>
        <w:tc>
          <w:tcPr>
            <w:tcW w:w="8120" w:type="dxa"/>
            <w:vAlign w:val="bottom"/>
            <w:shd w:val="clear" w:color="auto" w:fill="B6B6B6"/>
          </w:tcPr>
          <w:p>
            <w:pPr>
              <w:spacing w:after="0"/>
              <w:rPr>
                <w:sz w:val="7"/>
                <w:szCs w:val="7"/>
                <w:color w:val="auto"/>
              </w:rPr>
            </w:pPr>
          </w:p>
        </w:tc>
        <w:tc>
          <w:tcPr>
            <w:tcW w:w="940" w:type="dxa"/>
            <w:vAlign w:val="bottom"/>
            <w:shd w:val="clear" w:color="auto" w:fill="B6B6B6"/>
          </w:tcPr>
          <w:p>
            <w:pPr>
              <w:spacing w:after="0"/>
              <w:rPr>
                <w:sz w:val="7"/>
                <w:szCs w:val="7"/>
                <w:color w:val="auto"/>
              </w:rPr>
            </w:pPr>
          </w:p>
        </w:tc>
        <w:tc>
          <w:tcPr>
            <w:tcW w:w="540" w:type="dxa"/>
            <w:vAlign w:val="bottom"/>
            <w:shd w:val="clear" w:color="auto" w:fill="B6B6B6"/>
          </w:tcPr>
          <w:p>
            <w:pPr>
              <w:spacing w:after="0"/>
              <w:rPr>
                <w:sz w:val="7"/>
                <w:szCs w:val="7"/>
                <w:color w:val="auto"/>
              </w:rPr>
            </w:pPr>
          </w:p>
        </w:tc>
        <w:tc>
          <w:tcPr>
            <w:tcW w:w="100" w:type="dxa"/>
            <w:vAlign w:val="bottom"/>
            <w:shd w:val="clear" w:color="auto" w:fill="B6B6B6"/>
          </w:tcPr>
          <w:p>
            <w:pPr>
              <w:spacing w:after="0"/>
              <w:rPr>
                <w:sz w:val="7"/>
                <w:szCs w:val="7"/>
                <w:color w:val="auto"/>
              </w:rPr>
            </w:pPr>
          </w:p>
        </w:tc>
        <w:tc>
          <w:tcPr>
            <w:tcW w:w="340" w:type="dxa"/>
            <w:vAlign w:val="bottom"/>
            <w:shd w:val="clear" w:color="auto" w:fill="B6B6B6"/>
          </w:tcPr>
          <w:p>
            <w:pPr>
              <w:spacing w:after="0"/>
              <w:rPr>
                <w:sz w:val="7"/>
                <w:szCs w:val="7"/>
                <w:color w:val="auto"/>
              </w:rPr>
            </w:pPr>
          </w:p>
        </w:tc>
        <w:tc>
          <w:tcPr>
            <w:tcW w:w="1140" w:type="dxa"/>
            <w:vAlign w:val="bottom"/>
            <w:shd w:val="clear" w:color="auto" w:fill="B6B6B6"/>
          </w:tcPr>
          <w:p>
            <w:pPr>
              <w:spacing w:after="0"/>
              <w:rPr>
                <w:sz w:val="7"/>
                <w:szCs w:val="7"/>
                <w:color w:val="auto"/>
              </w:rPr>
            </w:pPr>
          </w:p>
        </w:tc>
      </w:tr>
      <w:tr>
        <w:trPr>
          <w:trHeight w:val="212"/>
        </w:trPr>
        <w:tc>
          <w:tcPr>
            <w:tcW w:w="8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1"/>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20" w:type="dxa"/>
            <w:vAlign w:val="bottom"/>
            <w:tcBorders>
              <w:bottom w:val="single" w:sz="8" w:color="B6B6B6"/>
            </w:tcBorders>
            <w:shd w:val="clear" w:color="auto" w:fill="B6B6B6"/>
          </w:tcPr>
          <w:p>
            <w:pPr>
              <w:spacing w:after="0"/>
              <w:rPr>
                <w:sz w:val="20"/>
                <w:szCs w:val="20"/>
                <w:color w:val="auto"/>
              </w:rPr>
            </w:pPr>
            <w:r>
              <w:rPr>
                <w:rFonts w:ascii="Times New Roman" w:cs="Times New Roman" w:eastAsia="Times New Roman" w:hAnsi="Times New Roman"/>
                <w:sz w:val="16"/>
                <w:szCs w:val="16"/>
                <w:color w:val="auto"/>
              </w:rPr>
              <w:t>Interest and fees on loans</w:t>
            </w:r>
          </w:p>
        </w:tc>
        <w:tc>
          <w:tcPr>
            <w:tcW w:w="940" w:type="dxa"/>
            <w:vAlign w:val="bottom"/>
            <w:tcBorders>
              <w:bottom w:val="single" w:sz="8" w:color="B6B6B6"/>
            </w:tcBorders>
            <w:shd w:val="clear" w:color="auto" w:fill="B6B6B6"/>
          </w:tcPr>
          <w:p>
            <w:pPr>
              <w:spacing w:after="0"/>
              <w:rPr>
                <w:sz w:val="19"/>
                <w:szCs w:val="19"/>
                <w:color w:val="auto"/>
              </w:rPr>
            </w:pP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15,277</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15,350</w:t>
            </w:r>
          </w:p>
        </w:tc>
      </w:tr>
      <w:tr>
        <w:trPr>
          <w:trHeight w:val="210"/>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dividends on investment securities: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20" w:type="dxa"/>
            <w:vAlign w:val="bottom"/>
            <w:tcBorders>
              <w:bottom w:val="single" w:sz="8" w:color="B6B6B6"/>
            </w:tcBorders>
            <w:shd w:val="clear" w:color="auto" w:fill="B6B6B6"/>
          </w:tcPr>
          <w:p>
            <w:pPr>
              <w:ind w:left="340"/>
              <w:spacing w:after="0"/>
              <w:rPr>
                <w:sz w:val="20"/>
                <w:szCs w:val="20"/>
                <w:color w:val="auto"/>
              </w:rPr>
            </w:pPr>
            <w:r>
              <w:rPr>
                <w:rFonts w:ascii="Times New Roman" w:cs="Times New Roman" w:eastAsia="Times New Roman" w:hAnsi="Times New Roman"/>
                <w:sz w:val="16"/>
                <w:szCs w:val="16"/>
                <w:color w:val="auto"/>
              </w:rPr>
              <w:t>Taxable</w:t>
            </w:r>
          </w:p>
        </w:tc>
        <w:tc>
          <w:tcPr>
            <w:tcW w:w="940" w:type="dxa"/>
            <w:vAlign w:val="bottom"/>
            <w:tcBorders>
              <w:bottom w:val="single" w:sz="8" w:color="B6B6B6"/>
            </w:tcBorders>
            <w:shd w:val="clear" w:color="auto" w:fill="B6B6B6"/>
          </w:tcPr>
          <w:p>
            <w:pPr>
              <w:spacing w:after="0"/>
              <w:rPr>
                <w:sz w:val="19"/>
                <w:szCs w:val="19"/>
                <w:color w:val="auto"/>
              </w:rPr>
            </w:pP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5,595</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3,515</w:t>
            </w:r>
          </w:p>
        </w:tc>
      </w:tr>
      <w:tr>
        <w:trPr>
          <w:trHeight w:val="210"/>
        </w:trPr>
        <w:tc>
          <w:tcPr>
            <w:tcW w:w="8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Exempt from federal income taxes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r>
      <w:tr>
        <w:trPr>
          <w:trHeight w:val="33"/>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20" w:type="dxa"/>
            <w:vAlign w:val="bottom"/>
            <w:tcBorders>
              <w:bottom w:val="single" w:sz="8" w:color="B6B6B6"/>
            </w:tcBorders>
            <w:shd w:val="clear" w:color="auto" w:fill="B6B6B6"/>
          </w:tcPr>
          <w:p>
            <w:pPr>
              <w:spacing w:after="0"/>
              <w:rPr>
                <w:sz w:val="20"/>
                <w:szCs w:val="20"/>
                <w:color w:val="auto"/>
              </w:rPr>
            </w:pPr>
            <w:r>
              <w:rPr>
                <w:rFonts w:ascii="Times New Roman" w:cs="Times New Roman" w:eastAsia="Times New Roman" w:hAnsi="Times New Roman"/>
                <w:sz w:val="16"/>
                <w:szCs w:val="16"/>
                <w:color w:val="auto"/>
              </w:rPr>
              <w:t>Interest on federal funds sold and other short-term investments</w:t>
            </w:r>
          </w:p>
        </w:tc>
        <w:tc>
          <w:tcPr>
            <w:tcW w:w="940" w:type="dxa"/>
            <w:vAlign w:val="bottom"/>
            <w:tcBorders>
              <w:bottom w:val="single" w:sz="8" w:color="B6B6B6"/>
            </w:tcBorders>
            <w:shd w:val="clear" w:color="auto" w:fill="B6B6B6"/>
          </w:tcPr>
          <w:p>
            <w:pPr>
              <w:spacing w:after="0"/>
              <w:rPr>
                <w:sz w:val="21"/>
                <w:szCs w:val="21"/>
                <w:color w:val="auto"/>
              </w:rPr>
            </w:pP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2,832</w:t>
            </w:r>
          </w:p>
        </w:tc>
        <w:tc>
          <w:tcPr>
            <w:tcW w:w="100" w:type="dxa"/>
            <w:vAlign w:val="bottom"/>
            <w:tcBorders>
              <w:bottom w:val="single" w:sz="8" w:color="B6B6B6"/>
            </w:tcBorders>
            <w:shd w:val="clear" w:color="auto" w:fill="B6B6B6"/>
          </w:tcPr>
          <w:p>
            <w:pPr>
              <w:spacing w:after="0"/>
              <w:rPr>
                <w:sz w:val="21"/>
                <w:szCs w:val="21"/>
                <w:color w:val="auto"/>
              </w:rPr>
            </w:pP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3,893</w:t>
            </w:r>
          </w:p>
        </w:tc>
      </w:tr>
      <w:tr>
        <w:trPr>
          <w:trHeight w:val="204"/>
        </w:trPr>
        <w:tc>
          <w:tcPr>
            <w:tcW w:w="8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interest income</w:t>
            </w: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25,104</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23,390</w:t>
            </w:r>
          </w:p>
        </w:tc>
      </w:tr>
      <w:tr>
        <w:trPr>
          <w:trHeight w:val="72"/>
        </w:trPr>
        <w:tc>
          <w:tcPr>
            <w:tcW w:w="8120" w:type="dxa"/>
            <w:vAlign w:val="bottom"/>
            <w:tcBorders>
              <w:bottom w:val="single" w:sz="8" w:color="B6B6B6"/>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B6B6B6"/>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12"/>
        </w:trPr>
        <w:tc>
          <w:tcPr>
            <w:tcW w:w="8120" w:type="dxa"/>
            <w:vAlign w:val="bottom"/>
            <w:tcBorders>
              <w:top w:val="single" w:sz="8" w:color="B6B6B6"/>
            </w:tcBorders>
          </w:tcPr>
          <w:p>
            <w:pPr>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940" w:type="dxa"/>
            <w:vAlign w:val="bottom"/>
            <w:tcBorders>
              <w:top w:val="single" w:sz="8" w:color="B6B6B6"/>
            </w:tcBorders>
          </w:tcPr>
          <w:p>
            <w:pPr>
              <w:spacing w:after="0"/>
              <w:rPr>
                <w:sz w:val="18"/>
                <w:szCs w:val="18"/>
                <w:color w:val="auto"/>
              </w:rPr>
            </w:pPr>
          </w:p>
        </w:tc>
        <w:tc>
          <w:tcPr>
            <w:tcW w:w="540" w:type="dxa"/>
            <w:vAlign w:val="bottom"/>
            <w:tcBorders>
              <w:top w:val="single" w:sz="8" w:color="B6B6B6"/>
            </w:tcBorders>
          </w:tcPr>
          <w:p>
            <w:pPr>
              <w:spacing w:after="0"/>
              <w:rPr>
                <w:sz w:val="18"/>
                <w:szCs w:val="18"/>
                <w:color w:val="auto"/>
              </w:rPr>
            </w:pPr>
          </w:p>
        </w:tc>
        <w:tc>
          <w:tcPr>
            <w:tcW w:w="100" w:type="dxa"/>
            <w:vAlign w:val="bottom"/>
            <w:tcBorders>
              <w:top w:val="single" w:sz="8" w:color="B6B6B6"/>
            </w:tcBorders>
          </w:tcPr>
          <w:p>
            <w:pPr>
              <w:spacing w:after="0"/>
              <w:rPr>
                <w:sz w:val="18"/>
                <w:szCs w:val="18"/>
                <w:color w:val="auto"/>
              </w:rPr>
            </w:pPr>
          </w:p>
        </w:tc>
        <w:tc>
          <w:tcPr>
            <w:tcW w:w="340" w:type="dxa"/>
            <w:vAlign w:val="bottom"/>
            <w:tcBorders>
              <w:top w:val="single" w:sz="8" w:color="B6B6B6"/>
            </w:tcBorders>
          </w:tcPr>
          <w:p>
            <w:pPr>
              <w:spacing w:after="0"/>
              <w:rPr>
                <w:sz w:val="18"/>
                <w:szCs w:val="18"/>
                <w:color w:val="auto"/>
              </w:rPr>
            </w:pPr>
          </w:p>
        </w:tc>
        <w:tc>
          <w:tcPr>
            <w:tcW w:w="1140" w:type="dxa"/>
            <w:vAlign w:val="bottom"/>
            <w:tcBorders>
              <w:top w:val="single" w:sz="8" w:color="B6B6B6"/>
            </w:tcBorders>
          </w:tcPr>
          <w:p>
            <w:pPr>
              <w:spacing w:after="0"/>
              <w:rPr>
                <w:sz w:val="18"/>
                <w:szCs w:val="18"/>
                <w:color w:val="auto"/>
              </w:rPr>
            </w:pPr>
          </w:p>
        </w:tc>
      </w:tr>
      <w:tr>
        <w:trPr>
          <w:trHeight w:val="31"/>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20" w:type="dxa"/>
            <w:vAlign w:val="bottom"/>
            <w:tcBorders>
              <w:bottom w:val="single" w:sz="8" w:color="B6B6B6"/>
            </w:tcBorders>
            <w:shd w:val="clear" w:color="auto" w:fill="B6B6B6"/>
          </w:tcPr>
          <w:p>
            <w:pPr>
              <w:spacing w:after="0"/>
              <w:rPr>
                <w:sz w:val="20"/>
                <w:szCs w:val="20"/>
                <w:color w:val="auto"/>
              </w:rPr>
            </w:pPr>
            <w:r>
              <w:rPr>
                <w:rFonts w:ascii="Times New Roman" w:cs="Times New Roman" w:eastAsia="Times New Roman" w:hAnsi="Times New Roman"/>
                <w:sz w:val="16"/>
                <w:szCs w:val="16"/>
                <w:color w:val="auto"/>
              </w:rPr>
              <w:t>Interest on deposits</w:t>
            </w:r>
          </w:p>
        </w:tc>
        <w:tc>
          <w:tcPr>
            <w:tcW w:w="940" w:type="dxa"/>
            <w:vAlign w:val="bottom"/>
            <w:tcBorders>
              <w:bottom w:val="single" w:sz="8" w:color="B6B6B6"/>
            </w:tcBorders>
            <w:shd w:val="clear" w:color="auto" w:fill="B6B6B6"/>
          </w:tcPr>
          <w:p>
            <w:pPr>
              <w:spacing w:after="0"/>
              <w:rPr>
                <w:sz w:val="19"/>
                <w:szCs w:val="19"/>
                <w:color w:val="auto"/>
              </w:rPr>
            </w:pP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3,828</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4,116</w:t>
            </w:r>
          </w:p>
        </w:tc>
      </w:tr>
      <w:tr>
        <w:trPr>
          <w:trHeight w:val="210"/>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Interest on short-term borrowings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20" w:type="dxa"/>
            <w:vAlign w:val="bottom"/>
            <w:tcBorders>
              <w:bottom w:val="single" w:sz="8" w:color="B6B6B6"/>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120" w:type="dxa"/>
            <w:vAlign w:val="bottom"/>
            <w:tcBorders>
              <w:bottom w:val="single" w:sz="8" w:color="B6B6B6"/>
            </w:tcBorders>
            <w:shd w:val="clear" w:color="auto" w:fill="B6B6B6"/>
          </w:tcPr>
          <w:p>
            <w:pPr>
              <w:ind w:left="340"/>
              <w:spacing w:after="0"/>
              <w:rPr>
                <w:sz w:val="20"/>
                <w:szCs w:val="20"/>
                <w:color w:val="auto"/>
              </w:rPr>
            </w:pPr>
            <w:r>
              <w:rPr>
                <w:rFonts w:ascii="Times New Roman" w:cs="Times New Roman" w:eastAsia="Times New Roman" w:hAnsi="Times New Roman"/>
                <w:sz w:val="16"/>
                <w:szCs w:val="16"/>
                <w:color w:val="auto"/>
              </w:rPr>
              <w:t>Total interest expense</w:t>
            </w:r>
          </w:p>
        </w:tc>
        <w:tc>
          <w:tcPr>
            <w:tcW w:w="940" w:type="dxa"/>
            <w:vAlign w:val="bottom"/>
            <w:tcBorders>
              <w:bottom w:val="single" w:sz="8" w:color="B6B6B6"/>
            </w:tcBorders>
            <w:shd w:val="clear" w:color="auto" w:fill="B6B6B6"/>
          </w:tcPr>
          <w:p>
            <w:pPr>
              <w:spacing w:after="0"/>
              <w:rPr>
                <w:sz w:val="20"/>
                <w:szCs w:val="20"/>
                <w:color w:val="auto"/>
              </w:rPr>
            </w:pP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100" w:type="dxa"/>
            <w:vAlign w:val="bottom"/>
            <w:tcBorders>
              <w:bottom w:val="single" w:sz="8" w:color="B6B6B6"/>
            </w:tcBorders>
            <w:shd w:val="clear" w:color="auto" w:fill="B6B6B6"/>
          </w:tcPr>
          <w:p>
            <w:pPr>
              <w:spacing w:after="0"/>
              <w:rPr>
                <w:sz w:val="20"/>
                <w:szCs w:val="20"/>
                <w:color w:val="auto"/>
              </w:rPr>
            </w:pPr>
          </w:p>
        </w:tc>
        <w:tc>
          <w:tcPr>
            <w:tcW w:w="340" w:type="dxa"/>
            <w:vAlign w:val="bottom"/>
            <w:tcBorders>
              <w:bottom w:val="single" w:sz="8" w:color="B6B6B6"/>
            </w:tcBorders>
            <w:shd w:val="clear" w:color="auto" w:fill="B6B6B6"/>
          </w:tcPr>
          <w:p>
            <w:pPr>
              <w:spacing w:after="0"/>
              <w:rPr>
                <w:sz w:val="20"/>
                <w:szCs w:val="20"/>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4,116</w:t>
            </w:r>
          </w:p>
        </w:tc>
      </w:tr>
      <w:tr>
        <w:trPr>
          <w:trHeight w:val="230"/>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9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21,216</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19,274</w:t>
            </w:r>
          </w:p>
        </w:tc>
      </w:tr>
      <w:tr>
        <w:trPr>
          <w:trHeight w:val="250"/>
        </w:trPr>
        <w:tc>
          <w:tcPr>
            <w:tcW w:w="8120" w:type="dxa"/>
            <w:vAlign w:val="bottom"/>
            <w:tcBorders>
              <w:bottom w:val="single" w:sz="8" w:color="B6B6B6"/>
            </w:tcBorders>
            <w:shd w:val="clear" w:color="auto" w:fill="B6B6B6"/>
          </w:tcPr>
          <w:p>
            <w:pPr>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940" w:type="dxa"/>
            <w:vAlign w:val="bottom"/>
            <w:tcBorders>
              <w:bottom w:val="single" w:sz="8" w:color="B6B6B6"/>
            </w:tcBorders>
            <w:shd w:val="clear" w:color="auto" w:fill="B6B6B6"/>
          </w:tcPr>
          <w:p>
            <w:pPr>
              <w:spacing w:after="0"/>
              <w:rPr>
                <w:sz w:val="21"/>
                <w:szCs w:val="21"/>
                <w:color w:val="auto"/>
              </w:rPr>
            </w:pP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B6B6B6"/>
            </w:tcBorders>
            <w:shd w:val="clear" w:color="auto" w:fill="B6B6B6"/>
          </w:tcPr>
          <w:p>
            <w:pPr>
              <w:spacing w:after="0"/>
              <w:rPr>
                <w:sz w:val="21"/>
                <w:szCs w:val="21"/>
                <w:color w:val="auto"/>
              </w:rPr>
            </w:pP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905</w:t>
            </w:r>
          </w:p>
        </w:tc>
      </w:tr>
      <w:tr>
        <w:trPr>
          <w:trHeight w:val="204"/>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Net interest income after provision for credit losses</w:t>
            </w: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21,155</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18,369</w:t>
            </w:r>
          </w:p>
        </w:tc>
      </w:tr>
      <w:tr>
        <w:trPr>
          <w:trHeight w:val="33"/>
        </w:trPr>
        <w:tc>
          <w:tcPr>
            <w:tcW w:w="8120" w:type="dxa"/>
            <w:vAlign w:val="bottom"/>
            <w:tcBorders>
              <w:bottom w:val="single" w:sz="8" w:color="B6B6B6"/>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6"/>
        </w:trPr>
        <w:tc>
          <w:tcPr>
            <w:tcW w:w="8120" w:type="dxa"/>
            <w:vAlign w:val="bottom"/>
            <w:tcBorders>
              <w:bottom w:val="single" w:sz="8" w:color="B6B6B6"/>
            </w:tcBorders>
            <w:shd w:val="clear" w:color="auto" w:fill="B6B6B6"/>
          </w:tcPr>
          <w:p>
            <w:pPr>
              <w:ind w:left="500"/>
              <w:spacing w:after="0"/>
              <w:rPr>
                <w:sz w:val="20"/>
                <w:szCs w:val="20"/>
                <w:color w:val="auto"/>
              </w:rPr>
            </w:pPr>
            <w:r>
              <w:rPr>
                <w:rFonts w:ascii="Times New Roman" w:cs="Times New Roman" w:eastAsia="Times New Roman" w:hAnsi="Times New Roman"/>
                <w:sz w:val="16"/>
                <w:szCs w:val="16"/>
                <w:color w:val="auto"/>
              </w:rPr>
              <w:t>Total net revenue</w:t>
            </w:r>
          </w:p>
        </w:tc>
        <w:tc>
          <w:tcPr>
            <w:tcW w:w="940" w:type="dxa"/>
            <w:vAlign w:val="bottom"/>
            <w:tcBorders>
              <w:bottom w:val="single" w:sz="8" w:color="B6B6B6"/>
            </w:tcBorders>
            <w:shd w:val="clear" w:color="auto" w:fill="B6B6B6"/>
          </w:tcPr>
          <w:p>
            <w:pPr>
              <w:spacing w:after="0"/>
              <w:rPr>
                <w:sz w:val="18"/>
                <w:szCs w:val="18"/>
                <w:color w:val="auto"/>
              </w:rPr>
            </w:pP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49,101</w:t>
            </w:r>
          </w:p>
        </w:tc>
        <w:tc>
          <w:tcPr>
            <w:tcW w:w="100" w:type="dxa"/>
            <w:vAlign w:val="bottom"/>
            <w:tcBorders>
              <w:bottom w:val="single" w:sz="8" w:color="B6B6B6"/>
            </w:tcBorders>
            <w:shd w:val="clear" w:color="auto" w:fill="B6B6B6"/>
          </w:tcPr>
          <w:p>
            <w:pPr>
              <w:spacing w:after="0"/>
              <w:rPr>
                <w:sz w:val="18"/>
                <w:szCs w:val="18"/>
                <w:color w:val="auto"/>
              </w:rPr>
            </w:pP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46,407</w:t>
            </w:r>
          </w:p>
        </w:tc>
      </w:tr>
      <w:tr>
        <w:trPr>
          <w:trHeight w:val="95"/>
        </w:trPr>
        <w:tc>
          <w:tcPr>
            <w:tcW w:w="8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223"/>
        </w:trPr>
        <w:tc>
          <w:tcPr>
            <w:tcW w:w="8120" w:type="dxa"/>
            <w:vAlign w:val="bottom"/>
            <w:tcBorders>
              <w:bottom w:val="single" w:sz="8" w:color="B6B6B6"/>
            </w:tcBorders>
            <w:shd w:val="clear" w:color="auto" w:fill="B6B6B6"/>
          </w:tcPr>
          <w:p>
            <w:pPr>
              <w:spacing w:after="0"/>
              <w:rPr>
                <w:sz w:val="20"/>
                <w:szCs w:val="20"/>
                <w:color w:val="auto"/>
              </w:rPr>
            </w:pPr>
            <w:r>
              <w:rPr>
                <w:rFonts w:ascii="Times New Roman" w:cs="Times New Roman" w:eastAsia="Times New Roman" w:hAnsi="Times New Roman"/>
                <w:sz w:val="16"/>
                <w:szCs w:val="16"/>
                <w:b w:val="1"/>
                <w:bCs w:val="1"/>
                <w:color w:val="auto"/>
              </w:rPr>
              <w:t>Operating Expense:</w:t>
            </w:r>
          </w:p>
        </w:tc>
        <w:tc>
          <w:tcPr>
            <w:tcW w:w="940" w:type="dxa"/>
            <w:vAlign w:val="bottom"/>
            <w:tcBorders>
              <w:bottom w:val="single" w:sz="8" w:color="B6B6B6"/>
            </w:tcBorders>
            <w:shd w:val="clear" w:color="auto" w:fill="B6B6B6"/>
          </w:tcPr>
          <w:p>
            <w:pPr>
              <w:spacing w:after="0"/>
              <w:rPr>
                <w:sz w:val="19"/>
                <w:szCs w:val="19"/>
                <w:color w:val="auto"/>
              </w:rPr>
            </w:pPr>
          </w:p>
        </w:tc>
        <w:tc>
          <w:tcPr>
            <w:tcW w:w="540" w:type="dxa"/>
            <w:vAlign w:val="bottom"/>
            <w:tcBorders>
              <w:bottom w:val="single" w:sz="8" w:color="B6B6B6"/>
            </w:tcBorders>
            <w:shd w:val="clear" w:color="auto" w:fill="B6B6B6"/>
          </w:tcPr>
          <w:p>
            <w:pPr>
              <w:spacing w:after="0"/>
              <w:rPr>
                <w:sz w:val="19"/>
                <w:szCs w:val="19"/>
                <w:color w:val="auto"/>
              </w:rPr>
            </w:pP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spacing w:after="0"/>
              <w:rPr>
                <w:sz w:val="19"/>
                <w:szCs w:val="19"/>
                <w:color w:val="auto"/>
              </w:rPr>
            </w:pPr>
          </w:p>
        </w:tc>
      </w:tr>
      <w:tr>
        <w:trPr>
          <w:trHeight w:val="210"/>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Salaries and commissions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19,663</w:t>
            </w:r>
          </w:p>
        </w:tc>
      </w:tr>
      <w:tr>
        <w:trPr>
          <w:trHeight w:val="33"/>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20" w:type="dxa"/>
            <w:vAlign w:val="bottom"/>
            <w:tcBorders>
              <w:bottom w:val="single" w:sz="8" w:color="B6B6B6"/>
            </w:tcBorders>
            <w:shd w:val="clear" w:color="auto" w:fill="B6B6B6"/>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940" w:type="dxa"/>
            <w:vAlign w:val="bottom"/>
            <w:tcBorders>
              <w:bottom w:val="single" w:sz="8" w:color="B6B6B6"/>
            </w:tcBorders>
            <w:shd w:val="clear" w:color="auto" w:fill="B6B6B6"/>
          </w:tcPr>
          <w:p>
            <w:pPr>
              <w:spacing w:after="0"/>
              <w:rPr>
                <w:sz w:val="19"/>
                <w:szCs w:val="19"/>
                <w:color w:val="auto"/>
              </w:rPr>
            </w:pP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1,241</w:t>
            </w:r>
          </w:p>
        </w:tc>
      </w:tr>
      <w:tr>
        <w:trPr>
          <w:trHeight w:val="210"/>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Employee profit sharing</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r>
      <w:tr>
        <w:trPr>
          <w:trHeight w:val="33"/>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20" w:type="dxa"/>
            <w:vAlign w:val="bottom"/>
            <w:tcBorders>
              <w:bottom w:val="single" w:sz="8" w:color="B6B6B6"/>
            </w:tcBorders>
            <w:shd w:val="clear" w:color="auto" w:fill="B6B6B6"/>
          </w:tcPr>
          <w:p>
            <w:pPr>
              <w:spacing w:after="0"/>
              <w:rPr>
                <w:sz w:val="20"/>
                <w:szCs w:val="20"/>
                <w:color w:val="auto"/>
              </w:rPr>
            </w:pPr>
            <w:r>
              <w:rPr>
                <w:rFonts w:ascii="Times New Roman" w:cs="Times New Roman" w:eastAsia="Times New Roman" w:hAnsi="Times New Roman"/>
                <w:sz w:val="16"/>
                <w:szCs w:val="16"/>
                <w:color w:val="auto"/>
              </w:rPr>
              <w:t>Other benefits</w:t>
            </w:r>
          </w:p>
        </w:tc>
        <w:tc>
          <w:tcPr>
            <w:tcW w:w="940" w:type="dxa"/>
            <w:vAlign w:val="bottom"/>
            <w:tcBorders>
              <w:bottom w:val="single" w:sz="8" w:color="B6B6B6"/>
            </w:tcBorders>
            <w:shd w:val="clear" w:color="auto" w:fill="B6B6B6"/>
          </w:tcPr>
          <w:p>
            <w:pPr>
              <w:spacing w:after="0"/>
              <w:rPr>
                <w:sz w:val="21"/>
                <w:szCs w:val="21"/>
                <w:color w:val="auto"/>
              </w:rPr>
            </w:pP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4,938</w:t>
            </w:r>
          </w:p>
        </w:tc>
        <w:tc>
          <w:tcPr>
            <w:tcW w:w="100" w:type="dxa"/>
            <w:vAlign w:val="bottom"/>
            <w:tcBorders>
              <w:bottom w:val="single" w:sz="8" w:color="B6B6B6"/>
            </w:tcBorders>
            <w:shd w:val="clear" w:color="auto" w:fill="B6B6B6"/>
          </w:tcPr>
          <w:p>
            <w:pPr>
              <w:spacing w:after="0"/>
              <w:rPr>
                <w:sz w:val="21"/>
                <w:szCs w:val="21"/>
                <w:color w:val="auto"/>
              </w:rPr>
            </w:pP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4,873</w:t>
            </w:r>
          </w:p>
        </w:tc>
      </w:tr>
      <w:tr>
        <w:trPr>
          <w:trHeight w:val="204"/>
        </w:trPr>
        <w:tc>
          <w:tcPr>
            <w:tcW w:w="8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personnel expenses</w:t>
            </w: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27,279</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27,279</w:t>
            </w:r>
          </w:p>
        </w:tc>
      </w:tr>
      <w:tr>
        <w:trPr>
          <w:trHeight w:val="33"/>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20" w:type="dxa"/>
            <w:vAlign w:val="bottom"/>
            <w:tcBorders>
              <w:bottom w:val="single" w:sz="8" w:color="B6B6B6"/>
            </w:tcBorders>
            <w:shd w:val="clear" w:color="auto" w:fill="B6B6B6"/>
          </w:tcPr>
          <w:p>
            <w:pPr>
              <w:spacing w:after="0"/>
              <w:rPr>
                <w:sz w:val="20"/>
                <w:szCs w:val="20"/>
                <w:color w:val="auto"/>
              </w:rPr>
            </w:pPr>
            <w:r>
              <w:rPr>
                <w:rFonts w:ascii="Times New Roman" w:cs="Times New Roman" w:eastAsia="Times New Roman" w:hAnsi="Times New Roman"/>
                <w:sz w:val="16"/>
                <w:szCs w:val="16"/>
                <w:color w:val="auto"/>
              </w:rPr>
              <w:t>Occupancy</w:t>
            </w:r>
          </w:p>
        </w:tc>
        <w:tc>
          <w:tcPr>
            <w:tcW w:w="940" w:type="dxa"/>
            <w:vAlign w:val="bottom"/>
            <w:tcBorders>
              <w:bottom w:val="single" w:sz="8" w:color="B6B6B6"/>
            </w:tcBorders>
            <w:shd w:val="clear" w:color="auto" w:fill="B6B6B6"/>
          </w:tcPr>
          <w:p>
            <w:pPr>
              <w:spacing w:after="0"/>
              <w:rPr>
                <w:sz w:val="19"/>
                <w:szCs w:val="19"/>
                <w:color w:val="auto"/>
              </w:rPr>
            </w:pP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721</w:t>
            </w:r>
          </w:p>
        </w:tc>
      </w:tr>
      <w:tr>
        <w:trPr>
          <w:trHeight w:val="210"/>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Equipment</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2,294</w:t>
            </w:r>
          </w:p>
        </w:tc>
      </w:tr>
      <w:tr>
        <w:trPr>
          <w:trHeight w:val="33"/>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20" w:type="dxa"/>
            <w:vAlign w:val="bottom"/>
            <w:tcBorders>
              <w:bottom w:val="single" w:sz="8" w:color="B6B6B6"/>
            </w:tcBorders>
            <w:shd w:val="clear" w:color="auto" w:fill="B6B6B6"/>
          </w:tcPr>
          <w:p>
            <w:pPr>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940" w:type="dxa"/>
            <w:vAlign w:val="bottom"/>
            <w:tcBorders>
              <w:bottom w:val="single" w:sz="8" w:color="B6B6B6"/>
            </w:tcBorders>
            <w:shd w:val="clear" w:color="auto" w:fill="B6B6B6"/>
          </w:tcPr>
          <w:p>
            <w:pPr>
              <w:spacing w:after="0"/>
              <w:rPr>
                <w:sz w:val="19"/>
                <w:szCs w:val="19"/>
                <w:color w:val="auto"/>
              </w:rPr>
            </w:pP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293</w:t>
            </w:r>
          </w:p>
        </w:tc>
      </w:tr>
      <w:tr>
        <w:trPr>
          <w:trHeight w:val="210"/>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Bad debt recovery</w:t>
            </w:r>
          </w:p>
        </w:tc>
        <w:tc>
          <w:tcPr>
            <w:tcW w:w="9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33"/>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20" w:type="dxa"/>
            <w:vAlign w:val="bottom"/>
            <w:tcBorders>
              <w:bottom w:val="single" w:sz="8" w:color="B6B6B6"/>
            </w:tcBorders>
            <w:shd w:val="clear" w:color="auto" w:fill="B6B6B6"/>
          </w:tcPr>
          <w:p>
            <w:pPr>
              <w:spacing w:after="0"/>
              <w:rPr>
                <w:sz w:val="20"/>
                <w:szCs w:val="20"/>
                <w:color w:val="auto"/>
              </w:rPr>
            </w:pPr>
            <w:r>
              <w:rPr>
                <w:rFonts w:ascii="Times New Roman" w:cs="Times New Roman" w:eastAsia="Times New Roman" w:hAnsi="Times New Roman"/>
                <w:sz w:val="16"/>
                <w:szCs w:val="16"/>
                <w:color w:val="auto"/>
              </w:rPr>
              <w:t>Other operating expense</w:t>
            </w:r>
          </w:p>
        </w:tc>
        <w:tc>
          <w:tcPr>
            <w:tcW w:w="940" w:type="dxa"/>
            <w:vAlign w:val="bottom"/>
            <w:tcBorders>
              <w:bottom w:val="single" w:sz="8" w:color="B6B6B6"/>
            </w:tcBorders>
            <w:shd w:val="clear" w:color="auto" w:fill="B6B6B6"/>
          </w:tcPr>
          <w:p>
            <w:pPr>
              <w:spacing w:after="0"/>
              <w:rPr>
                <w:sz w:val="21"/>
                <w:szCs w:val="21"/>
                <w:color w:val="auto"/>
              </w:rPr>
            </w:pP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7,533</w:t>
            </w:r>
          </w:p>
        </w:tc>
        <w:tc>
          <w:tcPr>
            <w:tcW w:w="100" w:type="dxa"/>
            <w:vAlign w:val="bottom"/>
            <w:tcBorders>
              <w:bottom w:val="single" w:sz="8" w:color="B6B6B6"/>
            </w:tcBorders>
            <w:shd w:val="clear" w:color="auto" w:fill="B6B6B6"/>
          </w:tcPr>
          <w:p>
            <w:pPr>
              <w:spacing w:after="0"/>
              <w:rPr>
                <w:sz w:val="21"/>
                <w:szCs w:val="21"/>
                <w:color w:val="auto"/>
              </w:rPr>
            </w:pP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6,943</w:t>
            </w:r>
          </w:p>
        </w:tc>
      </w:tr>
      <w:tr>
        <w:trPr>
          <w:trHeight w:val="204"/>
        </w:trPr>
        <w:tc>
          <w:tcPr>
            <w:tcW w:w="8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operating expense</w:t>
            </w: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38,218</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35,530</w:t>
            </w:r>
          </w:p>
        </w:tc>
      </w:tr>
      <w:tr>
        <w:trPr>
          <w:trHeight w:val="33"/>
        </w:trPr>
        <w:tc>
          <w:tcPr>
            <w:tcW w:w="8120" w:type="dxa"/>
            <w:vAlign w:val="bottom"/>
            <w:tcBorders>
              <w:bottom w:val="single" w:sz="8" w:color="B6B6B6"/>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6"/>
        </w:trPr>
        <w:tc>
          <w:tcPr>
            <w:tcW w:w="8120" w:type="dxa"/>
            <w:vAlign w:val="bottom"/>
            <w:tcBorders>
              <w:bottom w:val="single" w:sz="8" w:color="B6B6B6"/>
            </w:tcBorders>
            <w:shd w:val="clear" w:color="auto" w:fill="B6B6B6"/>
          </w:tcPr>
          <w:p>
            <w:pPr>
              <w:spacing w:after="0"/>
              <w:rPr>
                <w:sz w:val="20"/>
                <w:szCs w:val="20"/>
                <w:color w:val="auto"/>
              </w:rPr>
            </w:pPr>
            <w:r>
              <w:rPr>
                <w:rFonts w:ascii="Times New Roman" w:cs="Times New Roman" w:eastAsia="Times New Roman" w:hAnsi="Times New Roman"/>
                <w:sz w:val="16"/>
                <w:szCs w:val="16"/>
                <w:color w:val="auto"/>
              </w:rPr>
              <w:t>Income from continuing operations, before income tax expense</w:t>
            </w:r>
          </w:p>
        </w:tc>
        <w:tc>
          <w:tcPr>
            <w:tcW w:w="940" w:type="dxa"/>
            <w:vAlign w:val="bottom"/>
            <w:tcBorders>
              <w:bottom w:val="single" w:sz="8" w:color="B6B6B6"/>
            </w:tcBorders>
            <w:shd w:val="clear" w:color="auto" w:fill="B6B6B6"/>
          </w:tcPr>
          <w:p>
            <w:pPr>
              <w:spacing w:after="0"/>
              <w:rPr>
                <w:sz w:val="18"/>
                <w:szCs w:val="18"/>
                <w:color w:val="auto"/>
              </w:rPr>
            </w:pP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10,883</w:t>
            </w:r>
          </w:p>
        </w:tc>
        <w:tc>
          <w:tcPr>
            <w:tcW w:w="100" w:type="dxa"/>
            <w:vAlign w:val="bottom"/>
            <w:tcBorders>
              <w:bottom w:val="single" w:sz="8" w:color="B6B6B6"/>
            </w:tcBorders>
            <w:shd w:val="clear" w:color="auto" w:fill="B6B6B6"/>
          </w:tcPr>
          <w:p>
            <w:pPr>
              <w:spacing w:after="0"/>
              <w:rPr>
                <w:sz w:val="18"/>
                <w:szCs w:val="18"/>
                <w:color w:val="auto"/>
              </w:rPr>
            </w:pP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10,877</w:t>
            </w:r>
          </w:p>
        </w:tc>
      </w:tr>
      <w:tr>
        <w:trPr>
          <w:trHeight w:val="210"/>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2,326</w:t>
            </w:r>
          </w:p>
        </w:tc>
      </w:tr>
      <w:tr>
        <w:trPr>
          <w:trHeight w:val="33"/>
        </w:trPr>
        <w:tc>
          <w:tcPr>
            <w:tcW w:w="8120" w:type="dxa"/>
            <w:vAlign w:val="bottom"/>
            <w:tcBorders>
              <w:bottom w:val="single" w:sz="8" w:color="B6B6B6"/>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6"/>
        </w:trPr>
        <w:tc>
          <w:tcPr>
            <w:tcW w:w="8120" w:type="dxa"/>
            <w:vAlign w:val="bottom"/>
            <w:tcBorders>
              <w:bottom w:val="single" w:sz="8" w:color="B6B6B6"/>
            </w:tcBorders>
            <w:shd w:val="clear" w:color="auto" w:fill="B6B6B6"/>
          </w:tcPr>
          <w:p>
            <w:pPr>
              <w:ind w:left="50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940" w:type="dxa"/>
            <w:vAlign w:val="bottom"/>
            <w:tcBorders>
              <w:bottom w:val="single" w:sz="8" w:color="B6B6B6"/>
            </w:tcBorders>
            <w:shd w:val="clear" w:color="auto" w:fill="B6B6B6"/>
          </w:tcPr>
          <w:p>
            <w:pPr>
              <w:spacing w:after="0"/>
              <w:rPr>
                <w:sz w:val="18"/>
                <w:szCs w:val="18"/>
                <w:color w:val="auto"/>
              </w:rPr>
            </w:pP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8,739</w:t>
            </w:r>
          </w:p>
        </w:tc>
        <w:tc>
          <w:tcPr>
            <w:tcW w:w="100" w:type="dxa"/>
            <w:vAlign w:val="bottom"/>
            <w:tcBorders>
              <w:bottom w:val="single" w:sz="8" w:color="B6B6B6"/>
            </w:tcBorders>
            <w:shd w:val="clear" w:color="auto" w:fill="B6B6B6"/>
          </w:tcPr>
          <w:p>
            <w:pPr>
              <w:spacing w:after="0"/>
              <w:rPr>
                <w:sz w:val="18"/>
                <w:szCs w:val="18"/>
                <w:color w:val="auto"/>
              </w:rPr>
            </w:pP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8,551</w:t>
            </w:r>
          </w:p>
        </w:tc>
      </w:tr>
      <w:tr>
        <w:trPr>
          <w:trHeight w:val="210"/>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r>
      <w:tr>
        <w:trPr>
          <w:trHeight w:val="33"/>
        </w:trPr>
        <w:tc>
          <w:tcPr>
            <w:tcW w:w="8120" w:type="dxa"/>
            <w:vAlign w:val="bottom"/>
            <w:tcBorders>
              <w:bottom w:val="single" w:sz="8" w:color="B6B6B6"/>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8"/>
        </w:trPr>
        <w:tc>
          <w:tcPr>
            <w:tcW w:w="8120" w:type="dxa"/>
            <w:vAlign w:val="bottom"/>
            <w:tcBorders>
              <w:bottom w:val="single" w:sz="8" w:color="B6B6B6"/>
            </w:tcBorders>
            <w:shd w:val="clear" w:color="auto" w:fill="B6B6B6"/>
          </w:tcPr>
          <w:p>
            <w:pPr>
              <w:ind w:left="50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Borders>
              <w:bottom w:val="single" w:sz="8" w:color="auto"/>
            </w:tcBorders>
            <w:shd w:val="clear" w:color="auto" w:fill="B6B6B6"/>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8,832</w:t>
            </w:r>
          </w:p>
        </w:tc>
        <w:tc>
          <w:tcPr>
            <w:tcW w:w="100" w:type="dxa"/>
            <w:vAlign w:val="bottom"/>
            <w:tcBorders>
              <w:bottom w:val="single" w:sz="8" w:color="B6B6B6"/>
            </w:tcBorders>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8,966</w:t>
            </w:r>
          </w:p>
        </w:tc>
      </w:tr>
      <w:tr>
        <w:trPr>
          <w:trHeight w:val="20"/>
        </w:trPr>
        <w:tc>
          <w:tcPr>
            <w:tcW w:w="8120" w:type="dxa"/>
            <w:vAlign w:val="bottom"/>
            <w:tcBorders>
              <w:top w:val="single" w:sz="8" w:color="B6B6B6"/>
            </w:tcBorders>
          </w:tcPr>
          <w:p>
            <w:pPr>
              <w:spacing w:after="0" w:line="20" w:lineRule="exact"/>
              <w:rPr>
                <w:sz w:val="1"/>
                <w:szCs w:val="1"/>
                <w:color w:val="auto"/>
              </w:rPr>
            </w:pPr>
          </w:p>
        </w:tc>
        <w:tc>
          <w:tcPr>
            <w:tcW w:w="940" w:type="dxa"/>
            <w:vAlign w:val="bottom"/>
            <w:tcBorders>
              <w:top w:val="single" w:sz="8" w:color="B6B6B6"/>
              <w:bottom w:val="single" w:sz="8" w:color="auto"/>
            </w:tcBorders>
          </w:tcPr>
          <w:p>
            <w:pPr>
              <w:spacing w:after="0" w:line="20" w:lineRule="exact"/>
              <w:rPr>
                <w:sz w:val="1"/>
                <w:szCs w:val="1"/>
                <w:color w:val="auto"/>
              </w:rPr>
            </w:pPr>
          </w:p>
        </w:tc>
        <w:tc>
          <w:tcPr>
            <w:tcW w:w="54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340" w:type="dxa"/>
            <w:vAlign w:val="bottom"/>
            <w:tcBorders>
              <w:top w:val="single" w:sz="8" w:color="B6B6B6"/>
              <w:bottom w:val="single" w:sz="8" w:color="auto"/>
            </w:tcBorders>
          </w:tcPr>
          <w:p>
            <w:pPr>
              <w:spacing w:after="0" w:line="20" w:lineRule="exact"/>
              <w:rPr>
                <w:sz w:val="1"/>
                <w:szCs w:val="1"/>
                <w:color w:val="auto"/>
              </w:rPr>
            </w:pPr>
          </w:p>
        </w:tc>
        <w:tc>
          <w:tcPr>
            <w:tcW w:w="1140" w:type="dxa"/>
            <w:vAlign w:val="bottom"/>
            <w:tcBorders>
              <w:top w:val="single" w:sz="8" w:color="B6B6B6"/>
              <w:bottom w:val="single" w:sz="8" w:color="auto"/>
            </w:tcBorders>
          </w:tcPr>
          <w:p>
            <w:pPr>
              <w:spacing w:after="0" w:line="20" w:lineRule="exact"/>
              <w:rPr>
                <w:sz w:val="1"/>
                <w:szCs w:val="1"/>
                <w:color w:val="auto"/>
              </w:rPr>
            </w:pPr>
          </w:p>
        </w:tc>
      </w:tr>
      <w:tr>
        <w:trPr>
          <w:trHeight w:val="58"/>
        </w:trPr>
        <w:tc>
          <w:tcPr>
            <w:tcW w:w="8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23"/>
        </w:trPr>
        <w:tc>
          <w:tcPr>
            <w:tcW w:w="8120" w:type="dxa"/>
            <w:vAlign w:val="bottom"/>
            <w:tcBorders>
              <w:bottom w:val="single" w:sz="8" w:color="B6B6B6"/>
            </w:tcBorders>
            <w:shd w:val="clear" w:color="auto" w:fill="B6B6B6"/>
          </w:tcPr>
          <w:p>
            <w:pPr>
              <w:spacing w:after="0"/>
              <w:rPr>
                <w:sz w:val="20"/>
                <w:szCs w:val="20"/>
                <w:color w:val="auto"/>
              </w:rPr>
            </w:pPr>
            <w:r>
              <w:rPr>
                <w:rFonts w:ascii="Times New Roman" w:cs="Times New Roman" w:eastAsia="Times New Roman" w:hAnsi="Times New Roman"/>
                <w:sz w:val="16"/>
                <w:szCs w:val="16"/>
                <w:color w:val="auto"/>
              </w:rPr>
              <w:t>Basic earnings per share from continuing operations</w:t>
            </w:r>
          </w:p>
        </w:tc>
        <w:tc>
          <w:tcPr>
            <w:tcW w:w="940" w:type="dxa"/>
            <w:vAlign w:val="bottom"/>
            <w:tcBorders>
              <w:bottom w:val="single" w:sz="8" w:color="B6B6B6"/>
            </w:tcBorders>
            <w:shd w:val="clear" w:color="auto" w:fill="B6B6B6"/>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0"/>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Basic earnings per share from discontinued operations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33"/>
        </w:trPr>
        <w:tc>
          <w:tcPr>
            <w:tcW w:w="8120" w:type="dxa"/>
            <w:vAlign w:val="bottom"/>
            <w:tcBorders>
              <w:bottom w:val="single" w:sz="8" w:color="B6B6B6"/>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8"/>
        </w:trPr>
        <w:tc>
          <w:tcPr>
            <w:tcW w:w="8120" w:type="dxa"/>
            <w:vAlign w:val="bottom"/>
            <w:tcBorders>
              <w:bottom w:val="single" w:sz="8" w:color="B6B6B6"/>
            </w:tcBorders>
            <w:shd w:val="clear" w:color="auto" w:fill="B6B6B6"/>
          </w:tcPr>
          <w:p>
            <w:pPr>
              <w:spacing w:after="0"/>
              <w:rPr>
                <w:sz w:val="20"/>
                <w:szCs w:val="20"/>
                <w:color w:val="auto"/>
              </w:rPr>
            </w:pPr>
            <w:r>
              <w:rPr>
                <w:rFonts w:ascii="Times New Roman" w:cs="Times New Roman" w:eastAsia="Times New Roman" w:hAnsi="Times New Roman"/>
                <w:sz w:val="16"/>
                <w:szCs w:val="16"/>
                <w:color w:val="auto"/>
              </w:rPr>
              <w:t>Basic earnings per share</w:t>
            </w:r>
          </w:p>
        </w:tc>
        <w:tc>
          <w:tcPr>
            <w:tcW w:w="940" w:type="dxa"/>
            <w:vAlign w:val="bottom"/>
            <w:tcBorders>
              <w:bottom w:val="single" w:sz="8" w:color="auto"/>
            </w:tcBorders>
            <w:shd w:val="clear" w:color="auto" w:fill="B6B6B6"/>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B6B6B6"/>
            </w:tcBorders>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0"/>
        </w:trPr>
        <w:tc>
          <w:tcPr>
            <w:tcW w:w="8120" w:type="dxa"/>
            <w:vAlign w:val="bottom"/>
            <w:tcBorders>
              <w:top w:val="single" w:sz="8" w:color="B6B6B6"/>
            </w:tcBorders>
          </w:tcPr>
          <w:p>
            <w:pPr>
              <w:spacing w:after="0" w:line="20" w:lineRule="exact"/>
              <w:rPr>
                <w:sz w:val="1"/>
                <w:szCs w:val="1"/>
                <w:color w:val="auto"/>
              </w:rPr>
            </w:pPr>
          </w:p>
        </w:tc>
        <w:tc>
          <w:tcPr>
            <w:tcW w:w="940" w:type="dxa"/>
            <w:vAlign w:val="bottom"/>
            <w:tcBorders>
              <w:top w:val="single" w:sz="8" w:color="B6B6B6"/>
              <w:bottom w:val="single" w:sz="8" w:color="auto"/>
            </w:tcBorders>
          </w:tcPr>
          <w:p>
            <w:pPr>
              <w:spacing w:after="0" w:line="20" w:lineRule="exact"/>
              <w:rPr>
                <w:sz w:val="1"/>
                <w:szCs w:val="1"/>
                <w:color w:val="auto"/>
              </w:rPr>
            </w:pPr>
          </w:p>
        </w:tc>
        <w:tc>
          <w:tcPr>
            <w:tcW w:w="54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340" w:type="dxa"/>
            <w:vAlign w:val="bottom"/>
            <w:tcBorders>
              <w:top w:val="single" w:sz="8" w:color="B6B6B6"/>
              <w:bottom w:val="single" w:sz="8" w:color="auto"/>
            </w:tcBorders>
          </w:tcPr>
          <w:p>
            <w:pPr>
              <w:spacing w:after="0" w:line="20" w:lineRule="exact"/>
              <w:rPr>
                <w:sz w:val="1"/>
                <w:szCs w:val="1"/>
                <w:color w:val="auto"/>
              </w:rPr>
            </w:pPr>
          </w:p>
        </w:tc>
        <w:tc>
          <w:tcPr>
            <w:tcW w:w="1140" w:type="dxa"/>
            <w:vAlign w:val="bottom"/>
            <w:tcBorders>
              <w:top w:val="single" w:sz="8" w:color="B6B6B6"/>
              <w:bottom w:val="single" w:sz="8" w:color="auto"/>
            </w:tcBorders>
          </w:tcPr>
          <w:p>
            <w:pPr>
              <w:spacing w:after="0" w:line="20" w:lineRule="exact"/>
              <w:rPr>
                <w:sz w:val="1"/>
                <w:szCs w:val="1"/>
                <w:color w:val="auto"/>
              </w:rPr>
            </w:pPr>
          </w:p>
        </w:tc>
      </w:tr>
      <w:tr>
        <w:trPr>
          <w:trHeight w:val="58"/>
        </w:trPr>
        <w:tc>
          <w:tcPr>
            <w:tcW w:w="8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23"/>
        </w:trPr>
        <w:tc>
          <w:tcPr>
            <w:tcW w:w="8120" w:type="dxa"/>
            <w:vAlign w:val="bottom"/>
            <w:tcBorders>
              <w:bottom w:val="single" w:sz="8" w:color="B6B6B6"/>
            </w:tcBorders>
            <w:shd w:val="clear" w:color="auto" w:fill="B6B6B6"/>
          </w:tcPr>
          <w:p>
            <w:pPr>
              <w:spacing w:after="0"/>
              <w:rPr>
                <w:sz w:val="20"/>
                <w:szCs w:val="20"/>
                <w:color w:val="auto"/>
              </w:rPr>
            </w:pPr>
            <w:r>
              <w:rPr>
                <w:rFonts w:ascii="Times New Roman" w:cs="Times New Roman" w:eastAsia="Times New Roman" w:hAnsi="Times New Roman"/>
                <w:sz w:val="16"/>
                <w:szCs w:val="16"/>
                <w:color w:val="auto"/>
              </w:rPr>
              <w:t>Diluted earnings per share from continuing operations</w:t>
            </w:r>
          </w:p>
        </w:tc>
        <w:tc>
          <w:tcPr>
            <w:tcW w:w="940" w:type="dxa"/>
            <w:vAlign w:val="bottom"/>
            <w:tcBorders>
              <w:bottom w:val="single" w:sz="8" w:color="B6B6B6"/>
            </w:tcBorders>
            <w:shd w:val="clear" w:color="auto" w:fill="B6B6B6"/>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0"/>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Diluted earnings per share from discontinued operations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33"/>
        </w:trPr>
        <w:tc>
          <w:tcPr>
            <w:tcW w:w="8120" w:type="dxa"/>
            <w:vAlign w:val="bottom"/>
            <w:tcBorders>
              <w:bottom w:val="single" w:sz="8" w:color="B6B6B6"/>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8"/>
        </w:trPr>
        <w:tc>
          <w:tcPr>
            <w:tcW w:w="8120" w:type="dxa"/>
            <w:vAlign w:val="bottom"/>
            <w:tcBorders>
              <w:bottom w:val="single" w:sz="8" w:color="B6B6B6"/>
            </w:tcBorders>
            <w:shd w:val="clear" w:color="auto" w:fill="B6B6B6"/>
          </w:tcPr>
          <w:p>
            <w:pPr>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940" w:type="dxa"/>
            <w:vAlign w:val="bottom"/>
            <w:tcBorders>
              <w:bottom w:val="single" w:sz="8" w:color="auto"/>
            </w:tcBorders>
            <w:shd w:val="clear" w:color="auto" w:fill="B6B6B6"/>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bottom w:val="single" w:sz="8" w:color="B6B6B6"/>
            </w:tcBorders>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0"/>
        </w:trPr>
        <w:tc>
          <w:tcPr>
            <w:tcW w:w="8120" w:type="dxa"/>
            <w:vAlign w:val="bottom"/>
            <w:tcBorders>
              <w:top w:val="single" w:sz="8" w:color="B6B6B6"/>
            </w:tcBorders>
          </w:tcPr>
          <w:p>
            <w:pPr>
              <w:spacing w:after="0" w:line="20" w:lineRule="exact"/>
              <w:rPr>
                <w:sz w:val="1"/>
                <w:szCs w:val="1"/>
                <w:color w:val="auto"/>
              </w:rPr>
            </w:pPr>
          </w:p>
        </w:tc>
        <w:tc>
          <w:tcPr>
            <w:tcW w:w="940" w:type="dxa"/>
            <w:vAlign w:val="bottom"/>
            <w:tcBorders>
              <w:top w:val="single" w:sz="8" w:color="B6B6B6"/>
              <w:bottom w:val="single" w:sz="8" w:color="auto"/>
            </w:tcBorders>
          </w:tcPr>
          <w:p>
            <w:pPr>
              <w:spacing w:after="0" w:line="20" w:lineRule="exact"/>
              <w:rPr>
                <w:sz w:val="1"/>
                <w:szCs w:val="1"/>
                <w:color w:val="auto"/>
              </w:rPr>
            </w:pPr>
          </w:p>
        </w:tc>
        <w:tc>
          <w:tcPr>
            <w:tcW w:w="54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340" w:type="dxa"/>
            <w:vAlign w:val="bottom"/>
            <w:tcBorders>
              <w:top w:val="single" w:sz="8" w:color="B6B6B6"/>
              <w:bottom w:val="single" w:sz="8" w:color="auto"/>
            </w:tcBorders>
          </w:tcPr>
          <w:p>
            <w:pPr>
              <w:spacing w:after="0" w:line="20" w:lineRule="exact"/>
              <w:rPr>
                <w:sz w:val="1"/>
                <w:szCs w:val="1"/>
                <w:color w:val="auto"/>
              </w:rPr>
            </w:pPr>
          </w:p>
        </w:tc>
        <w:tc>
          <w:tcPr>
            <w:tcW w:w="1140" w:type="dxa"/>
            <w:vAlign w:val="bottom"/>
            <w:tcBorders>
              <w:top w:val="single" w:sz="8" w:color="B6B6B6"/>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20"/>
          </w:cols>
          <w:pgMar w:left="320" w:top="117" w:right="359" w:bottom="110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107"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9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7"/>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r>
              <w:rPr>
                <w:rFonts w:ascii="Times New Roman" w:cs="Times New Roman" w:eastAsia="Times New Roman" w:hAnsi="Times New Roman"/>
                <w:sz w:val="18"/>
                <w:szCs w:val="18"/>
                <w:color w:val="auto"/>
              </w:rPr>
              <w:t>:</w:t>
            </w:r>
          </w:p>
        </w:tc>
        <w:tc>
          <w:tcPr>
            <w:tcW w:w="920" w:type="dxa"/>
            <w:vAlign w:val="bottom"/>
            <w:shd w:val="clear" w:color="auto" w:fill="B6B6B6"/>
          </w:tcPr>
          <w:p>
            <w:pPr>
              <w:spacing w:after="0"/>
              <w:rPr>
                <w:sz w:val="22"/>
                <w:szCs w:val="22"/>
                <w:color w:val="auto"/>
              </w:rPr>
            </w:pPr>
          </w:p>
        </w:tc>
        <w:tc>
          <w:tcPr>
            <w:tcW w:w="5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20" w:type="dxa"/>
            <w:vAlign w:val="bottom"/>
            <w:shd w:val="clear" w:color="auto" w:fill="B6B6B6"/>
          </w:tcPr>
          <w:p>
            <w:pPr>
              <w:spacing w:after="0"/>
              <w:rPr>
                <w:sz w:val="22"/>
                <w:szCs w:val="22"/>
                <w:color w:val="auto"/>
              </w:rPr>
            </w:pPr>
          </w:p>
        </w:tc>
        <w:tc>
          <w:tcPr>
            <w:tcW w:w="5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r>
      <w:tr>
        <w:trPr>
          <w:trHeight w:val="26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unrealized (loss) gain on securities available-for-sale</w:t>
            </w: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(4,956)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7,243</w:t>
            </w:r>
          </w:p>
        </w:tc>
      </w:tr>
      <w:tr>
        <w:trPr>
          <w:trHeight w:val="263"/>
        </w:trPr>
        <w:tc>
          <w:tcPr>
            <w:tcW w:w="81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Tax effect</w:t>
            </w:r>
          </w:p>
        </w:tc>
        <w:tc>
          <w:tcPr>
            <w:tcW w:w="920" w:type="dxa"/>
            <w:vAlign w:val="bottom"/>
            <w:shd w:val="clear" w:color="auto" w:fill="B6B6B6"/>
          </w:tcPr>
          <w:p>
            <w:pPr>
              <w:spacing w:after="0"/>
              <w:rPr>
                <w:sz w:val="22"/>
                <w:szCs w:val="22"/>
                <w:color w:val="auto"/>
              </w:rPr>
            </w:pPr>
          </w:p>
        </w:tc>
        <w:tc>
          <w:tcPr>
            <w:tcW w:w="5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(1,724)</w:t>
            </w:r>
          </w:p>
        </w:tc>
      </w:tr>
      <w:tr>
        <w:trPr>
          <w:trHeight w:val="26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adjustments for (gains) losses included in net income</w:t>
            </w: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63"/>
        </w:trPr>
        <w:tc>
          <w:tcPr>
            <w:tcW w:w="81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Tax effect</w:t>
            </w:r>
          </w:p>
        </w:tc>
        <w:tc>
          <w:tcPr>
            <w:tcW w:w="920" w:type="dxa"/>
            <w:vAlign w:val="bottom"/>
            <w:shd w:val="clear" w:color="auto" w:fill="B6B6B6"/>
          </w:tcPr>
          <w:p>
            <w:pPr>
              <w:spacing w:after="0"/>
              <w:rPr>
                <w:sz w:val="22"/>
                <w:szCs w:val="22"/>
                <w:color w:val="auto"/>
              </w:rPr>
            </w:pPr>
          </w:p>
        </w:tc>
        <w:tc>
          <w:tcPr>
            <w:tcW w:w="5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6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net loss on supplemental executive retirement plan</w:t>
            </w: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81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Tax effect</w:t>
            </w:r>
          </w:p>
        </w:tc>
        <w:tc>
          <w:tcPr>
            <w:tcW w:w="920" w:type="dxa"/>
            <w:vAlign w:val="bottom"/>
            <w:shd w:val="clear" w:color="auto" w:fill="B6B6B6"/>
          </w:tcPr>
          <w:p>
            <w:pPr>
              <w:spacing w:after="0"/>
              <w:rPr>
                <w:sz w:val="24"/>
                <w:szCs w:val="24"/>
                <w:color w:val="auto"/>
              </w:rPr>
            </w:pPr>
          </w:p>
        </w:tc>
        <w:tc>
          <w:tcPr>
            <w:tcW w:w="5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B6B6B6"/>
          </w:tcPr>
          <w:p>
            <w:pPr>
              <w:spacing w:after="0"/>
              <w:rPr>
                <w:sz w:val="24"/>
                <w:szCs w:val="24"/>
                <w:color w:val="auto"/>
              </w:rPr>
            </w:pPr>
          </w:p>
        </w:tc>
        <w:tc>
          <w:tcPr>
            <w:tcW w:w="340" w:type="dxa"/>
            <w:vAlign w:val="bottom"/>
            <w:shd w:val="clear" w:color="auto" w:fill="B6B6B6"/>
          </w:tcPr>
          <w:p>
            <w:pPr>
              <w:spacing w:after="0"/>
              <w:rPr>
                <w:sz w:val="24"/>
                <w:szCs w:val="24"/>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tcBorders>
              <w:bottom w:val="single" w:sz="8" w:color="B6B6B6"/>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B6B6B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82"/>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920" w:type="dxa"/>
            <w:vAlign w:val="bottom"/>
            <w:tcBorders>
              <w:bottom w:val="single" w:sz="8" w:color="auto"/>
            </w:tcBorders>
            <w:shd w:val="clear" w:color="auto" w:fill="B6B6B6"/>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100" w:type="dxa"/>
            <w:vAlign w:val="bottom"/>
            <w:tcBorders>
              <w:bottom w:val="single" w:sz="8" w:color="B6B6B6"/>
            </w:tcBorders>
            <w:shd w:val="clear" w:color="auto" w:fill="B6B6B6"/>
          </w:tcPr>
          <w:p>
            <w:pPr>
              <w:spacing w:after="0"/>
              <w:rPr>
                <w:sz w:val="24"/>
                <w:szCs w:val="24"/>
                <w:color w:val="auto"/>
              </w:rPr>
            </w:pPr>
          </w:p>
        </w:tc>
        <w:tc>
          <w:tcPr>
            <w:tcW w:w="34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14,640</w:t>
            </w:r>
          </w:p>
        </w:tc>
      </w:tr>
      <w:tr>
        <w:trPr>
          <w:trHeight w:val="20"/>
        </w:trPr>
        <w:tc>
          <w:tcPr>
            <w:tcW w:w="8180" w:type="dxa"/>
            <w:vAlign w:val="bottom"/>
            <w:tcBorders>
              <w:top w:val="single" w:sz="8" w:color="B6B6B6"/>
            </w:tcBorders>
          </w:tcPr>
          <w:p>
            <w:pPr>
              <w:spacing w:after="0" w:line="20" w:lineRule="exact"/>
              <w:rPr>
                <w:sz w:val="1"/>
                <w:szCs w:val="1"/>
                <w:color w:val="auto"/>
              </w:rPr>
            </w:pPr>
          </w:p>
        </w:tc>
        <w:tc>
          <w:tcPr>
            <w:tcW w:w="920" w:type="dxa"/>
            <w:vAlign w:val="bottom"/>
            <w:tcBorders>
              <w:top w:val="single" w:sz="8" w:color="B6B6B6"/>
              <w:bottom w:val="single" w:sz="8" w:color="auto"/>
            </w:tcBorders>
          </w:tcPr>
          <w:p>
            <w:pPr>
              <w:spacing w:after="0" w:line="20" w:lineRule="exact"/>
              <w:rPr>
                <w:sz w:val="1"/>
                <w:szCs w:val="1"/>
                <w:color w:val="auto"/>
              </w:rPr>
            </w:pPr>
          </w:p>
        </w:tc>
        <w:tc>
          <w:tcPr>
            <w:tcW w:w="5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340" w:type="dxa"/>
            <w:vAlign w:val="bottom"/>
            <w:tcBorders>
              <w:top w:val="single" w:sz="8" w:color="B6B6B6"/>
              <w:bottom w:val="single" w:sz="8" w:color="auto"/>
            </w:tcBorders>
          </w:tcPr>
          <w:p>
            <w:pPr>
              <w:spacing w:after="0" w:line="20" w:lineRule="exact"/>
              <w:rPr>
                <w:sz w:val="1"/>
                <w:szCs w:val="1"/>
                <w:color w:val="auto"/>
              </w:rPr>
            </w:pPr>
          </w:p>
        </w:tc>
        <w:tc>
          <w:tcPr>
            <w:tcW w:w="1140" w:type="dxa"/>
            <w:vAlign w:val="bottom"/>
            <w:tcBorders>
              <w:top w:val="single" w:sz="8" w:color="B6B6B6"/>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0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30"/>
        </w:trPr>
        <w:tc>
          <w:tcPr>
            <w:tcW w:w="8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8,966</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Less: net income from discontinued operations</w:t>
            </w: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bottom w:val="single" w:sz="8" w:color="B6B6B6"/>
            </w:tcBorders>
            <w:shd w:val="clear" w:color="auto" w:fill="B6B6B6"/>
          </w:tcPr>
          <w:p>
            <w:pPr>
              <w:spacing w:after="0"/>
              <w:rPr>
                <w:sz w:val="21"/>
                <w:szCs w:val="21"/>
                <w:color w:val="auto"/>
              </w:rPr>
            </w:pP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20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8,739</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8,551</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spacing w:after="0"/>
              <w:rPr>
                <w:sz w:val="19"/>
                <w:szCs w:val="19"/>
                <w:color w:val="auto"/>
              </w:rPr>
            </w:pP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360"/>
              <w:spacing w:after="0"/>
              <w:rPr>
                <w:sz w:val="20"/>
                <w:szCs w:val="20"/>
                <w:color w:val="auto"/>
              </w:rPr>
            </w:pPr>
            <w:r>
              <w:rPr>
                <w:rFonts w:ascii="Times New Roman" w:cs="Times New Roman" w:eastAsia="Times New Roman" w:hAnsi="Times New Roman"/>
                <w:sz w:val="16"/>
                <w:szCs w:val="16"/>
                <w:color w:val="auto"/>
              </w:rPr>
              <w:t>Net amortization of premium/discount on investment securities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0" w:type="dxa"/>
            <w:vAlign w:val="bottom"/>
          </w:tcPr>
          <w:p>
            <w:pPr>
              <w:spacing w:after="0"/>
              <w:rPr>
                <w:sz w:val="1"/>
                <w:szCs w:val="1"/>
                <w:color w:val="auto"/>
              </w:rPr>
            </w:pPr>
          </w:p>
        </w:tc>
      </w:tr>
      <w:tr>
        <w:trPr>
          <w:trHeight w:val="210"/>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360"/>
              <w:spacing w:after="0"/>
              <w:rPr>
                <w:sz w:val="20"/>
                <w:szCs w:val="20"/>
                <w:color w:val="auto"/>
              </w:rPr>
            </w:pPr>
            <w:r>
              <w:rPr>
                <w:rFonts w:ascii="Times New Roman" w:cs="Times New Roman" w:eastAsia="Times New Roman" w:hAnsi="Times New Roman"/>
                <w:sz w:val="16"/>
                <w:szCs w:val="16"/>
                <w:color w:val="auto"/>
              </w:rPr>
              <w:t>(Gain) loss on sale of investment securities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0"/>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36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0" w:type="dxa"/>
            <w:vAlign w:val="bottom"/>
          </w:tcPr>
          <w:p>
            <w:pPr>
              <w:spacing w:after="0"/>
              <w:rPr>
                <w:sz w:val="1"/>
                <w:szCs w:val="1"/>
                <w:color w:val="auto"/>
              </w:rPr>
            </w:pPr>
          </w:p>
        </w:tc>
      </w:tr>
      <w:tr>
        <w:trPr>
          <w:trHeight w:val="210"/>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Increase in current income tax liability</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2,382</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360"/>
              <w:spacing w:after="0"/>
              <w:rPr>
                <w:sz w:val="20"/>
                <w:szCs w:val="20"/>
                <w:color w:val="auto"/>
              </w:rPr>
            </w:pPr>
            <w:r>
              <w:rPr>
                <w:rFonts w:ascii="Times New Roman" w:cs="Times New Roman" w:eastAsia="Times New Roman" w:hAnsi="Times New Roman"/>
                <w:sz w:val="16"/>
                <w:szCs w:val="16"/>
                <w:color w:val="auto"/>
              </w:rPr>
              <w:t>Increase in accounts receivable</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0" w:type="dxa"/>
            <w:vAlign w:val="bottom"/>
          </w:tcPr>
          <w:p>
            <w:pPr>
              <w:spacing w:after="0"/>
              <w:rPr>
                <w:sz w:val="1"/>
                <w:szCs w:val="1"/>
                <w:color w:val="auto"/>
              </w:rPr>
            </w:pPr>
          </w:p>
        </w:tc>
      </w:tr>
      <w:tr>
        <w:trPr>
          <w:trHeight w:val="210"/>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operating activities,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3,652</w:t>
            </w:r>
          </w:p>
        </w:tc>
        <w:tc>
          <w:tcPr>
            <w:tcW w:w="0" w:type="dxa"/>
            <w:vAlign w:val="bottom"/>
          </w:tcPr>
          <w:p>
            <w:pPr>
              <w:spacing w:after="0"/>
              <w:rPr>
                <w:sz w:val="1"/>
                <w:szCs w:val="1"/>
                <w:color w:val="auto"/>
              </w:rPr>
            </w:pPr>
          </w:p>
        </w:tc>
      </w:tr>
      <w:tr>
        <w:trPr>
          <w:trHeight w:val="33"/>
        </w:trPr>
        <w:tc>
          <w:tcPr>
            <w:tcW w:w="818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80" w:type="dxa"/>
            <w:vAlign w:val="bottom"/>
            <w:tcBorders>
              <w:bottom w:val="single" w:sz="8" w:color="B6B6B6"/>
            </w:tcBorders>
            <w:shd w:val="clear" w:color="auto" w:fill="B6B6B6"/>
          </w:tcPr>
          <w:p>
            <w:pPr>
              <w:ind w:left="680"/>
              <w:spacing w:after="0"/>
              <w:rPr>
                <w:sz w:val="20"/>
                <w:szCs w:val="20"/>
                <w:color w:val="auto"/>
              </w:rPr>
            </w:pPr>
            <w:r>
              <w:rPr>
                <w:rFonts w:ascii="Times New Roman" w:cs="Times New Roman" w:eastAsia="Times New Roman" w:hAnsi="Times New Roman"/>
                <w:sz w:val="16"/>
                <w:szCs w:val="16"/>
                <w:color w:val="auto"/>
              </w:rPr>
              <w:t>Net cash provided by operating activities - continuing operations</w:t>
            </w: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14,456</w:t>
            </w:r>
          </w:p>
        </w:tc>
        <w:tc>
          <w:tcPr>
            <w:tcW w:w="100" w:type="dxa"/>
            <w:vAlign w:val="bottom"/>
            <w:tcBorders>
              <w:bottom w:val="single" w:sz="8" w:color="B6B6B6"/>
            </w:tcBorders>
            <w:shd w:val="clear" w:color="auto" w:fill="B6B6B6"/>
          </w:tcPr>
          <w:p>
            <w:pPr>
              <w:spacing w:after="0"/>
              <w:rPr>
                <w:sz w:val="18"/>
                <w:szCs w:val="18"/>
                <w:color w:val="auto"/>
              </w:rPr>
            </w:pP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20,858</w:t>
            </w:r>
          </w:p>
        </w:tc>
        <w:tc>
          <w:tcPr>
            <w:tcW w:w="0" w:type="dxa"/>
            <w:vAlign w:val="bottom"/>
          </w:tcPr>
          <w:p>
            <w:pPr>
              <w:spacing w:after="0"/>
              <w:rPr>
                <w:sz w:val="1"/>
                <w:szCs w:val="1"/>
                <w:color w:val="auto"/>
              </w:rPr>
            </w:pPr>
          </w:p>
        </w:tc>
      </w:tr>
      <w:tr>
        <w:trPr>
          <w:trHeight w:val="210"/>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cash provided by operating activities - discontinued operations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0" w:type="dxa"/>
            <w:vAlign w:val="bottom"/>
          </w:tcPr>
          <w:p>
            <w:pPr>
              <w:spacing w:after="0"/>
              <w:rPr>
                <w:sz w:val="1"/>
                <w:szCs w:val="1"/>
                <w:color w:val="auto"/>
              </w:rPr>
            </w:pPr>
          </w:p>
        </w:tc>
      </w:tr>
      <w:tr>
        <w:trPr>
          <w:trHeight w:val="33"/>
        </w:trPr>
        <w:tc>
          <w:tcPr>
            <w:tcW w:w="818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80" w:type="dxa"/>
            <w:vAlign w:val="bottom"/>
            <w:tcBorders>
              <w:bottom w:val="single" w:sz="8" w:color="B6B6B6"/>
            </w:tcBorders>
            <w:shd w:val="clear" w:color="auto" w:fill="B6B6B6"/>
          </w:tcPr>
          <w:p>
            <w:pPr>
              <w:ind w:left="6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B6B6B6"/>
            </w:tcBorders>
            <w:shd w:val="clear" w:color="auto" w:fill="B6B6B6"/>
          </w:tcPr>
          <w:p>
            <w:pPr>
              <w:spacing w:after="0"/>
              <w:rPr>
                <w:sz w:val="20"/>
                <w:szCs w:val="20"/>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14,549</w:t>
            </w:r>
          </w:p>
        </w:tc>
        <w:tc>
          <w:tcPr>
            <w:tcW w:w="100" w:type="dxa"/>
            <w:vAlign w:val="bottom"/>
            <w:tcBorders>
              <w:bottom w:val="single" w:sz="8" w:color="B6B6B6"/>
            </w:tcBorders>
            <w:shd w:val="clear" w:color="auto" w:fill="B6B6B6"/>
          </w:tcPr>
          <w:p>
            <w:pPr>
              <w:spacing w:after="0"/>
              <w:rPr>
                <w:sz w:val="20"/>
                <w:szCs w:val="20"/>
                <w:color w:val="auto"/>
              </w:rPr>
            </w:pPr>
          </w:p>
        </w:tc>
        <w:tc>
          <w:tcPr>
            <w:tcW w:w="340" w:type="dxa"/>
            <w:vAlign w:val="bottom"/>
            <w:tcBorders>
              <w:bottom w:val="single" w:sz="8" w:color="B6B6B6"/>
            </w:tcBorders>
            <w:shd w:val="clear" w:color="auto" w:fill="B6B6B6"/>
          </w:tcPr>
          <w:p>
            <w:pPr>
              <w:spacing w:after="0"/>
              <w:rPr>
                <w:sz w:val="20"/>
                <w:szCs w:val="20"/>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21,565</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spacing w:after="0"/>
              <w:rPr>
                <w:sz w:val="19"/>
                <w:szCs w:val="19"/>
                <w:color w:val="auto"/>
              </w:rPr>
            </w:pP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sales of investment securities available-for-sale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23,012</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Proceeds from maturities of investment securities available-for-sale</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19,469</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15,820</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investment securities available-for-sale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(80,542)</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Net increase in loans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(27,513)</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(59,884)</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decrease in payments in advance of funding</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33,204</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Purchases of premises and equipment, net</w:t>
            </w: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100" w:type="dxa"/>
            <w:vAlign w:val="bottom"/>
            <w:tcBorders>
              <w:bottom w:val="single" w:sz="8" w:color="B6B6B6"/>
            </w:tcBorders>
            <w:shd w:val="clear" w:color="auto" w:fill="B6B6B6"/>
          </w:tcPr>
          <w:p>
            <w:pPr>
              <w:spacing w:after="0"/>
              <w:rPr>
                <w:sz w:val="21"/>
                <w:szCs w:val="21"/>
                <w:color w:val="auto"/>
              </w:rPr>
            </w:pP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0" w:type="dxa"/>
            <w:vAlign w:val="bottom"/>
          </w:tcPr>
          <w:p>
            <w:pPr>
              <w:spacing w:after="0"/>
              <w:rPr>
                <w:sz w:val="1"/>
                <w:szCs w:val="1"/>
                <w:color w:val="auto"/>
              </w:rPr>
            </w:pPr>
          </w:p>
        </w:tc>
      </w:tr>
      <w:tr>
        <w:trPr>
          <w:trHeight w:val="204"/>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 - continuing operations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(144,866)</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(70,963)</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80" w:type="dxa"/>
            <w:vAlign w:val="bottom"/>
            <w:tcBorders>
              <w:bottom w:val="single" w:sz="8" w:color="B6B6B6"/>
            </w:tcBorders>
            <w:shd w:val="clear" w:color="auto" w:fill="B6B6B6"/>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 - discontinued operations</w:t>
            </w:r>
          </w:p>
        </w:tc>
        <w:tc>
          <w:tcPr>
            <w:tcW w:w="340" w:type="dxa"/>
            <w:vAlign w:val="bottom"/>
            <w:tcBorders>
              <w:bottom w:val="single" w:sz="8" w:color="B6B6B6"/>
            </w:tcBorders>
            <w:shd w:val="clear" w:color="auto" w:fill="B6B6B6"/>
          </w:tcPr>
          <w:p>
            <w:pPr>
              <w:spacing w:after="0"/>
              <w:rPr>
                <w:sz w:val="21"/>
                <w:szCs w:val="21"/>
                <w:color w:val="auto"/>
              </w:rPr>
            </w:pPr>
          </w:p>
        </w:tc>
        <w:tc>
          <w:tcPr>
            <w:tcW w:w="1240" w:type="dxa"/>
            <w:vAlign w:val="bottom"/>
            <w:tcBorders>
              <w:bottom w:val="single" w:sz="8" w:color="B6B6B6"/>
            </w:tcBorders>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4"/>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(144,866)</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(71,025)</w:t>
            </w:r>
          </w:p>
        </w:tc>
        <w:tc>
          <w:tcPr>
            <w:tcW w:w="0" w:type="dxa"/>
            <w:vAlign w:val="bottom"/>
          </w:tcPr>
          <w:p>
            <w:pPr>
              <w:spacing w:after="0"/>
              <w:rPr>
                <w:sz w:val="1"/>
                <w:szCs w:val="1"/>
                <w:color w:val="auto"/>
              </w:rPr>
            </w:pPr>
          </w:p>
        </w:tc>
      </w:tr>
      <w:tr>
        <w:trPr>
          <w:trHeight w:val="3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8180" w:type="dxa"/>
            <w:vAlign w:val="bottom"/>
            <w:vMerge w:val="continue"/>
          </w:tcPr>
          <w:p>
            <w:pPr>
              <w:spacing w:after="0"/>
              <w:rPr>
                <w:sz w:val="7"/>
                <w:szCs w:val="7"/>
                <w:color w:val="auto"/>
              </w:rPr>
            </w:pPr>
          </w:p>
        </w:tc>
        <w:tc>
          <w:tcPr>
            <w:tcW w:w="340" w:type="dxa"/>
            <w:vAlign w:val="bottom"/>
            <w:shd w:val="clear" w:color="auto" w:fill="B6B6B6"/>
          </w:tcPr>
          <w:p>
            <w:pPr>
              <w:spacing w:after="0"/>
              <w:rPr>
                <w:sz w:val="7"/>
                <w:szCs w:val="7"/>
                <w:color w:val="auto"/>
              </w:rPr>
            </w:pPr>
          </w:p>
        </w:tc>
        <w:tc>
          <w:tcPr>
            <w:tcW w:w="1140" w:type="dxa"/>
            <w:vAlign w:val="bottom"/>
            <w:shd w:val="clear" w:color="auto" w:fill="B6B6B6"/>
          </w:tcPr>
          <w:p>
            <w:pPr>
              <w:spacing w:after="0"/>
              <w:rPr>
                <w:sz w:val="7"/>
                <w:szCs w:val="7"/>
                <w:color w:val="auto"/>
              </w:rPr>
            </w:pPr>
          </w:p>
        </w:tc>
        <w:tc>
          <w:tcPr>
            <w:tcW w:w="100" w:type="dxa"/>
            <w:vAlign w:val="bottom"/>
            <w:shd w:val="clear" w:color="auto" w:fill="B6B6B6"/>
          </w:tcPr>
          <w:p>
            <w:pPr>
              <w:spacing w:after="0"/>
              <w:rPr>
                <w:sz w:val="7"/>
                <w:szCs w:val="7"/>
                <w:color w:val="auto"/>
              </w:rPr>
            </w:pPr>
          </w:p>
        </w:tc>
        <w:tc>
          <w:tcPr>
            <w:tcW w:w="340" w:type="dxa"/>
            <w:vAlign w:val="bottom"/>
            <w:shd w:val="clear" w:color="auto" w:fill="B6B6B6"/>
          </w:tcPr>
          <w:p>
            <w:pPr>
              <w:spacing w:after="0"/>
              <w:rPr>
                <w:sz w:val="7"/>
                <w:szCs w:val="7"/>
                <w:color w:val="auto"/>
              </w:rPr>
            </w:pPr>
          </w:p>
        </w:tc>
        <w:tc>
          <w:tcPr>
            <w:tcW w:w="1140" w:type="dxa"/>
            <w:vAlign w:val="bottom"/>
            <w:shd w:val="clear" w:color="auto" w:fill="B6B6B6"/>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81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Net (decrease) increase in noninterest-bearing demand deposits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(107,321)</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112,568</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interest-bearing demand and savings deposits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(81,494)</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Net increase in time deposits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21,034</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accounts and drafts receivable from customers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15,440</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Net increase in short-term borrowings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145,000</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accounts and drafts payable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(113,286)</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Cash dividends paid</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(4,127)</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(4,175)</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common shares for treasury</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(5,076)</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100" w:type="dxa"/>
            <w:vAlign w:val="bottom"/>
            <w:tcBorders>
              <w:bottom w:val="single" w:sz="8" w:color="B6B6B6"/>
            </w:tcBorders>
            <w:shd w:val="clear" w:color="auto" w:fill="B6B6B6"/>
          </w:tcPr>
          <w:p>
            <w:pPr>
              <w:spacing w:after="0"/>
              <w:rPr>
                <w:sz w:val="21"/>
                <w:szCs w:val="21"/>
                <w:color w:val="auto"/>
              </w:rPr>
            </w:pP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0" w:type="dxa"/>
            <w:vAlign w:val="bottom"/>
          </w:tcPr>
          <w:p>
            <w:pPr>
              <w:spacing w:after="0"/>
              <w:rPr>
                <w:sz w:val="1"/>
                <w:szCs w:val="1"/>
                <w:color w:val="auto"/>
              </w:rPr>
            </w:pPr>
          </w:p>
        </w:tc>
      </w:tr>
      <w:tr>
        <w:trPr>
          <w:trHeight w:val="204"/>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cash used in financing activities - continuing operations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(17,608)</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(76,394)</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80" w:type="dxa"/>
            <w:vAlign w:val="bottom"/>
            <w:tcBorders>
              <w:bottom w:val="single" w:sz="8" w:color="B6B6B6"/>
            </w:tcBorders>
            <w:shd w:val="clear" w:color="auto" w:fill="B6B6B6"/>
          </w:tcPr>
          <w:p>
            <w:pPr>
              <w:ind w:left="680"/>
              <w:spacing w:after="0"/>
              <w:rPr>
                <w:sz w:val="20"/>
                <w:szCs w:val="20"/>
                <w:color w:val="auto"/>
              </w:rPr>
            </w:pPr>
            <w:r>
              <w:rPr>
                <w:rFonts w:ascii="Times New Roman" w:cs="Times New Roman" w:eastAsia="Times New Roman" w:hAnsi="Times New Roman"/>
                <w:sz w:val="16"/>
                <w:szCs w:val="16"/>
                <w:color w:val="auto"/>
              </w:rPr>
              <w:t>Net cash used in financing activities - discontinued operations</w:t>
            </w:r>
          </w:p>
        </w:tc>
        <w:tc>
          <w:tcPr>
            <w:tcW w:w="340" w:type="dxa"/>
            <w:vAlign w:val="bottom"/>
            <w:tcBorders>
              <w:bottom w:val="single" w:sz="8" w:color="B6B6B6"/>
            </w:tcBorders>
            <w:shd w:val="clear" w:color="auto" w:fill="B6B6B6"/>
          </w:tcPr>
          <w:p>
            <w:pPr>
              <w:spacing w:after="0"/>
              <w:rPr>
                <w:sz w:val="21"/>
                <w:szCs w:val="21"/>
                <w:color w:val="auto"/>
              </w:rPr>
            </w:pPr>
          </w:p>
        </w:tc>
        <w:tc>
          <w:tcPr>
            <w:tcW w:w="1240" w:type="dxa"/>
            <w:vAlign w:val="bottom"/>
            <w:tcBorders>
              <w:bottom w:val="single" w:sz="8" w:color="B6B6B6"/>
            </w:tcBorders>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(3,200)</w:t>
            </w:r>
          </w:p>
        </w:tc>
        <w:tc>
          <w:tcPr>
            <w:tcW w:w="0" w:type="dxa"/>
            <w:vAlign w:val="bottom"/>
          </w:tcPr>
          <w:p>
            <w:pPr>
              <w:spacing w:after="0"/>
              <w:rPr>
                <w:sz w:val="1"/>
                <w:szCs w:val="1"/>
                <w:color w:val="auto"/>
              </w:rPr>
            </w:pPr>
          </w:p>
        </w:tc>
      </w:tr>
      <w:tr>
        <w:trPr>
          <w:trHeight w:val="204"/>
        </w:trPr>
        <w:tc>
          <w:tcPr>
            <w:tcW w:w="8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(17,608)</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(79,594)</w:t>
            </w:r>
          </w:p>
        </w:tc>
        <w:tc>
          <w:tcPr>
            <w:tcW w:w="0" w:type="dxa"/>
            <w:vAlign w:val="bottom"/>
          </w:tcPr>
          <w:p>
            <w:pPr>
              <w:spacing w:after="0"/>
              <w:rPr>
                <w:sz w:val="1"/>
                <w:szCs w:val="1"/>
                <w:color w:val="auto"/>
              </w:rPr>
            </w:pPr>
          </w:p>
        </w:tc>
      </w:tr>
      <w:tr>
        <w:trPr>
          <w:trHeight w:val="33"/>
        </w:trPr>
        <w:tc>
          <w:tcPr>
            <w:tcW w:w="818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(147,925)</w:t>
            </w:r>
          </w:p>
        </w:tc>
        <w:tc>
          <w:tcPr>
            <w:tcW w:w="100" w:type="dxa"/>
            <w:vAlign w:val="bottom"/>
            <w:tcBorders>
              <w:bottom w:val="single" w:sz="8" w:color="B6B6B6"/>
            </w:tcBorders>
            <w:shd w:val="clear" w:color="auto" w:fill="B6B6B6"/>
          </w:tcPr>
          <w:p>
            <w:pPr>
              <w:spacing w:after="0"/>
              <w:rPr>
                <w:sz w:val="18"/>
                <w:szCs w:val="18"/>
                <w:color w:val="auto"/>
              </w:rPr>
            </w:pP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(129,054)</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392,268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349,728</w:t>
            </w:r>
          </w:p>
        </w:tc>
        <w:tc>
          <w:tcPr>
            <w:tcW w:w="0" w:type="dxa"/>
            <w:vAlign w:val="bottom"/>
          </w:tcPr>
          <w:p>
            <w:pPr>
              <w:spacing w:after="0"/>
              <w:rPr>
                <w:sz w:val="1"/>
                <w:szCs w:val="1"/>
                <w:color w:val="auto"/>
              </w:rPr>
            </w:pPr>
          </w:p>
        </w:tc>
      </w:tr>
      <w:tr>
        <w:trPr>
          <w:trHeight w:val="33"/>
        </w:trPr>
        <w:tc>
          <w:tcPr>
            <w:tcW w:w="818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40" w:type="dxa"/>
            <w:vAlign w:val="bottom"/>
            <w:tcBorders>
              <w:bottom w:val="single" w:sz="8" w:color="auto"/>
            </w:tcBorders>
            <w:shd w:val="clear" w:color="auto" w:fill="B6B6B6"/>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244,343</w:t>
            </w:r>
          </w:p>
        </w:tc>
        <w:tc>
          <w:tcPr>
            <w:tcW w:w="100" w:type="dxa"/>
            <w:vAlign w:val="bottom"/>
            <w:tcBorders>
              <w:bottom w:val="single" w:sz="8" w:color="B6B6B6"/>
            </w:tcBorders>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220,674</w:t>
            </w:r>
          </w:p>
        </w:tc>
        <w:tc>
          <w:tcPr>
            <w:tcW w:w="0" w:type="dxa"/>
            <w:vAlign w:val="bottom"/>
          </w:tcPr>
          <w:p>
            <w:pPr>
              <w:spacing w:after="0"/>
              <w:rPr>
                <w:sz w:val="1"/>
                <w:szCs w:val="1"/>
                <w:color w:val="auto"/>
              </w:rPr>
            </w:pPr>
          </w:p>
        </w:tc>
      </w:tr>
      <w:tr>
        <w:trPr>
          <w:trHeight w:val="20"/>
        </w:trPr>
        <w:tc>
          <w:tcPr>
            <w:tcW w:w="8180" w:type="dxa"/>
            <w:vAlign w:val="bottom"/>
            <w:tcBorders>
              <w:top w:val="single" w:sz="8" w:color="B6B6B6"/>
            </w:tcBorders>
          </w:tcPr>
          <w:p>
            <w:pPr>
              <w:spacing w:after="0" w:line="20" w:lineRule="exact"/>
              <w:rPr>
                <w:sz w:val="1"/>
                <w:szCs w:val="1"/>
                <w:color w:val="auto"/>
              </w:rPr>
            </w:pPr>
          </w:p>
        </w:tc>
        <w:tc>
          <w:tcPr>
            <w:tcW w:w="340" w:type="dxa"/>
            <w:vAlign w:val="bottom"/>
            <w:tcBorders>
              <w:top w:val="single" w:sz="8" w:color="B6B6B6"/>
              <w:bottom w:val="single" w:sz="8" w:color="auto"/>
            </w:tcBorders>
          </w:tcPr>
          <w:p>
            <w:pPr>
              <w:spacing w:after="0" w:line="20" w:lineRule="exact"/>
              <w:rPr>
                <w:sz w:val="1"/>
                <w:szCs w:val="1"/>
                <w:color w:val="auto"/>
              </w:rPr>
            </w:pPr>
          </w:p>
        </w:tc>
        <w:tc>
          <w:tcPr>
            <w:tcW w:w="114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340" w:type="dxa"/>
            <w:vAlign w:val="bottom"/>
            <w:tcBorders>
              <w:top w:val="single" w:sz="8" w:color="B6B6B6"/>
              <w:bottom w:val="single" w:sz="8" w:color="auto"/>
            </w:tcBorders>
          </w:tcPr>
          <w:p>
            <w:pPr>
              <w:spacing w:after="0" w:line="20" w:lineRule="exact"/>
              <w:rPr>
                <w:sz w:val="1"/>
                <w:szCs w:val="1"/>
                <w:color w:val="auto"/>
              </w:rPr>
            </w:pPr>
          </w:p>
        </w:tc>
        <w:tc>
          <w:tcPr>
            <w:tcW w:w="114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
        </w:trPr>
        <w:tc>
          <w:tcPr>
            <w:tcW w:w="8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Supplemental information:</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spacing w:after="0"/>
              <w:rPr>
                <w:sz w:val="19"/>
                <w:szCs w:val="19"/>
                <w:color w:val="auto"/>
              </w:rPr>
            </w:pP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paid for interest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4,369</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340" w:type="dxa"/>
            <w:vAlign w:val="bottom"/>
            <w:shd w:val="clear" w:color="auto" w:fill="B6B6B6"/>
          </w:tcPr>
          <w:p>
            <w:pPr>
              <w:spacing w:after="0"/>
              <w:rPr>
                <w:sz w:val="18"/>
                <w:szCs w:val="18"/>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B6B6B6"/>
          </w:tcPr>
          <w:p>
            <w:pPr>
              <w:spacing w:after="0"/>
              <w:rPr>
                <w:sz w:val="18"/>
                <w:szCs w:val="18"/>
                <w:color w:val="auto"/>
              </w:rPr>
            </w:pPr>
          </w:p>
        </w:tc>
        <w:tc>
          <w:tcPr>
            <w:tcW w:w="340" w:type="dxa"/>
            <w:vAlign w:val="bottom"/>
            <w:shd w:val="clear" w:color="auto" w:fill="B6B6B6"/>
          </w:tcPr>
          <w:p>
            <w:pPr>
              <w:spacing w:after="0"/>
              <w:rPr>
                <w:sz w:val="18"/>
                <w:szCs w:val="18"/>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33"/>
        </w:trPr>
        <w:tc>
          <w:tcPr>
            <w:tcW w:w="8180" w:type="dxa"/>
            <w:vAlign w:val="bottom"/>
            <w:shd w:val="clear" w:color="auto" w:fill="B6B6B6"/>
          </w:tcPr>
          <w:p>
            <w:pPr>
              <w:spacing w:after="0"/>
              <w:rPr>
                <w:sz w:val="2"/>
                <w:szCs w:val="2"/>
                <w:color w:val="auto"/>
              </w:rPr>
            </w:pPr>
          </w:p>
        </w:tc>
        <w:tc>
          <w:tcPr>
            <w:tcW w:w="340" w:type="dxa"/>
            <w:vAlign w:val="bottom"/>
            <w:shd w:val="clear" w:color="auto" w:fill="B6B6B6"/>
          </w:tcPr>
          <w:p>
            <w:pPr>
              <w:spacing w:after="0"/>
              <w:rPr>
                <w:sz w:val="2"/>
                <w:szCs w:val="2"/>
                <w:color w:val="auto"/>
              </w:rPr>
            </w:pPr>
          </w:p>
        </w:tc>
        <w:tc>
          <w:tcPr>
            <w:tcW w:w="1140" w:type="dxa"/>
            <w:vAlign w:val="bottom"/>
            <w:shd w:val="clear" w:color="auto" w:fill="B6B6B6"/>
          </w:tcPr>
          <w:p>
            <w:pPr>
              <w:spacing w:after="0"/>
              <w:rPr>
                <w:sz w:val="2"/>
                <w:szCs w:val="2"/>
                <w:color w:val="auto"/>
              </w:rPr>
            </w:pPr>
          </w:p>
        </w:tc>
        <w:tc>
          <w:tcPr>
            <w:tcW w:w="100" w:type="dxa"/>
            <w:vAlign w:val="bottom"/>
            <w:shd w:val="clear" w:color="auto" w:fill="B6B6B6"/>
          </w:tcPr>
          <w:p>
            <w:pPr>
              <w:spacing w:after="0"/>
              <w:rPr>
                <w:sz w:val="2"/>
                <w:szCs w:val="2"/>
                <w:color w:val="auto"/>
              </w:rPr>
            </w:pPr>
          </w:p>
        </w:tc>
        <w:tc>
          <w:tcPr>
            <w:tcW w:w="340" w:type="dxa"/>
            <w:vAlign w:val="bottom"/>
            <w:shd w:val="clear" w:color="auto" w:fill="B6B6B6"/>
          </w:tcPr>
          <w:p>
            <w:pPr>
              <w:spacing w:after="0"/>
              <w:rPr>
                <w:sz w:val="2"/>
                <w:szCs w:val="2"/>
                <w:color w:val="auto"/>
              </w:rPr>
            </w:pPr>
          </w:p>
        </w:tc>
        <w:tc>
          <w:tcPr>
            <w:tcW w:w="1140" w:type="dxa"/>
            <w:vAlign w:val="bottom"/>
            <w:shd w:val="clear" w:color="auto" w:fill="B6B6B6"/>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117" w:right="339" w:bottom="7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742"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15"/>
                <w:szCs w:val="15"/>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60" w:type="dxa"/>
            <w:vAlign w:val="bottom"/>
          </w:tcPr>
          <w:p>
            <w:pPr>
              <w:spacing w:after="0"/>
              <w:rPr>
                <w:sz w:val="15"/>
                <w:szCs w:val="15"/>
                <w:color w:val="auto"/>
              </w:rPr>
            </w:pPr>
          </w:p>
        </w:tc>
        <w:tc>
          <w:tcPr>
            <w:tcW w:w="15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40" w:type="dxa"/>
            <w:vAlign w:val="bottom"/>
          </w:tcPr>
          <w:p>
            <w:pPr>
              <w:spacing w:after="0"/>
              <w:rPr>
                <w:sz w:val="15"/>
                <w:szCs w:val="15"/>
                <w:color w:val="auto"/>
              </w:rPr>
            </w:pPr>
          </w:p>
        </w:tc>
        <w:tc>
          <w:tcPr>
            <w:tcW w:w="9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21"/>
                <w:szCs w:val="21"/>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Pr>
          <w:p>
            <w:pPr>
              <w:spacing w:after="0"/>
              <w:rPr>
                <w:sz w:val="21"/>
                <w:szCs w:val="21"/>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0" w:type="dxa"/>
            <w:vAlign w:val="bottom"/>
          </w:tcPr>
          <w:p>
            <w:pPr>
              <w:spacing w:after="0"/>
              <w:rPr>
                <w:sz w:val="21"/>
                <w:szCs w:val="21"/>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00" w:type="dxa"/>
            <w:vAlign w:val="bottom"/>
            <w:tcBorders>
              <w:top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205,593</w:t>
            </w:r>
          </w:p>
        </w:tc>
        <w:tc>
          <w:tcPr>
            <w:tcW w:w="80" w:type="dxa"/>
            <w:vAlign w:val="bottom"/>
            <w:tcBorders>
              <w:top w:val="single" w:sz="8" w:color="B6B6B6"/>
            </w:tcBorders>
            <w:shd w:val="clear" w:color="auto" w:fill="B6B6B6"/>
          </w:tcPr>
          <w:p>
            <w:pPr>
              <w:spacing w:after="0"/>
              <w:rPr>
                <w:sz w:val="19"/>
                <w:szCs w:val="19"/>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148,487</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(87,615)</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(45,188)</w:t>
            </w:r>
          </w:p>
        </w:tc>
        <w:tc>
          <w:tcPr>
            <w:tcW w:w="80" w:type="dxa"/>
            <w:vAlign w:val="bottom"/>
            <w:tcBorders>
              <w:top w:val="single" w:sz="8" w:color="B6B6B6"/>
            </w:tcBorders>
            <w:shd w:val="clear" w:color="auto" w:fill="B6B6B6"/>
          </w:tcPr>
          <w:p>
            <w:pPr>
              <w:spacing w:after="0"/>
              <w:rPr>
                <w:sz w:val="19"/>
                <w:szCs w:val="19"/>
                <w:color w:val="auto"/>
              </w:rPr>
            </w:pPr>
          </w:p>
        </w:tc>
        <w:tc>
          <w:tcPr>
            <w:tcW w:w="240" w:type="dxa"/>
            <w:vAlign w:val="bottom"/>
            <w:tcBorders>
              <w:top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229,030</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0" w:type="dxa"/>
            <w:vAlign w:val="bottom"/>
          </w:tcPr>
          <w:p>
            <w:pPr>
              <w:spacing w:after="0"/>
              <w:rPr>
                <w:sz w:val="1"/>
                <w:szCs w:val="1"/>
                <w:color w:val="auto"/>
              </w:rPr>
            </w:pPr>
          </w:p>
        </w:tc>
      </w:tr>
      <w:tr>
        <w:trPr>
          <w:trHeight w:val="230"/>
        </w:trPr>
        <w:tc>
          <w:tcPr>
            <w:tcW w:w="33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Cash dividends ($0.31 per share)</w:t>
            </w: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12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0" w:type="dxa"/>
            <w:vAlign w:val="bottom"/>
          </w:tcPr>
          <w:p>
            <w:pPr>
              <w:spacing w:after="0"/>
              <w:rPr>
                <w:sz w:val="1"/>
                <w:szCs w:val="1"/>
                <w:color w:val="auto"/>
              </w:rPr>
            </w:pPr>
          </w:p>
        </w:tc>
      </w:tr>
      <w:tr>
        <w:trPr>
          <w:trHeight w:val="175"/>
        </w:trPr>
        <w:tc>
          <w:tcPr>
            <w:tcW w:w="33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95,114 common shares pursuant</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share-based compensation plans, net</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0" w:type="dxa"/>
            <w:vAlign w:val="bottom"/>
          </w:tcPr>
          <w:p>
            <w:pPr>
              <w:spacing w:after="0"/>
              <w:rPr>
                <w:sz w:val="1"/>
                <w:szCs w:val="1"/>
                <w:color w:val="auto"/>
              </w:rPr>
            </w:pPr>
          </w:p>
        </w:tc>
      </w:tr>
      <w:tr>
        <w:trPr>
          <w:trHeight w:val="229"/>
        </w:trPr>
        <w:tc>
          <w:tcPr>
            <w:tcW w:w="33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080" w:type="dxa"/>
            <w:vAlign w:val="bottom"/>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116,109 common shares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0" w:type="dxa"/>
            <w:vAlign w:val="bottom"/>
          </w:tcPr>
          <w:p>
            <w:pPr>
              <w:spacing w:after="0"/>
              <w:rPr>
                <w:sz w:val="1"/>
                <w:szCs w:val="1"/>
                <w:color w:val="auto"/>
              </w:rPr>
            </w:pPr>
          </w:p>
        </w:tc>
      </w:tr>
      <w:tr>
        <w:trPr>
          <w:trHeight w:val="229"/>
        </w:trPr>
        <w:tc>
          <w:tcPr>
            <w:tcW w:w="33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comprehensive gain</w:t>
            </w:r>
          </w:p>
        </w:tc>
        <w:tc>
          <w:tcPr>
            <w:tcW w:w="160" w:type="dxa"/>
            <w:vAlign w:val="bottom"/>
            <w:tcBorders>
              <w:bottom w:val="single" w:sz="8" w:color="auto"/>
            </w:tcBorders>
            <w:shd w:val="clear" w:color="auto" w:fill="B6B6B6"/>
          </w:tcPr>
          <w:p>
            <w:pPr>
              <w:spacing w:after="0"/>
              <w:rPr>
                <w:sz w:val="19"/>
                <w:szCs w:val="19"/>
                <w:color w:val="auto"/>
              </w:rPr>
            </w:pPr>
          </w:p>
        </w:tc>
        <w:tc>
          <w:tcPr>
            <w:tcW w:w="98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1120" w:type="dxa"/>
            <w:vAlign w:val="bottom"/>
            <w:tcBorders>
              <w:bottom w:val="single" w:sz="8" w:color="auto"/>
            </w:tcBorders>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tcBorders>
              <w:bottom w:val="single" w:sz="8" w:color="auto"/>
            </w:tcBorders>
            <w:shd w:val="clear" w:color="auto" w:fill="B6B6B6"/>
          </w:tcPr>
          <w:p>
            <w:pPr>
              <w:spacing w:after="0"/>
              <w:rPr>
                <w:sz w:val="19"/>
                <w:szCs w:val="19"/>
                <w:color w:val="auto"/>
              </w:rPr>
            </w:pPr>
          </w:p>
        </w:tc>
        <w:tc>
          <w:tcPr>
            <w:tcW w:w="96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98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80" w:type="dxa"/>
            <w:vAlign w:val="bottom"/>
            <w:shd w:val="clear" w:color="auto" w:fill="B6B6B6"/>
          </w:tcPr>
          <w:p>
            <w:pPr>
              <w:spacing w:after="0"/>
              <w:rPr>
                <w:sz w:val="19"/>
                <w:szCs w:val="19"/>
                <w:color w:val="auto"/>
              </w:rPr>
            </w:pPr>
          </w:p>
        </w:tc>
        <w:tc>
          <w:tcPr>
            <w:tcW w:w="24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203,755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153,278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(39,514)</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234,247</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3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8"/>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207,052</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167,092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(112,148)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(26,751)</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242,998</w:t>
            </w:r>
          </w:p>
        </w:tc>
        <w:tc>
          <w:tcPr>
            <w:tcW w:w="0" w:type="dxa"/>
            <w:vAlign w:val="bottom"/>
          </w:tcPr>
          <w:p>
            <w:pPr>
              <w:spacing w:after="0"/>
              <w:rPr>
                <w:sz w:val="1"/>
                <w:szCs w:val="1"/>
                <w:color w:val="auto"/>
              </w:rPr>
            </w:pPr>
          </w:p>
        </w:tc>
      </w:tr>
      <w:tr>
        <w:trPr>
          <w:trHeight w:val="230"/>
        </w:trPr>
        <w:tc>
          <w:tcPr>
            <w:tcW w:w="33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12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($0.32 per share)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0" w:type="dxa"/>
            <w:vAlign w:val="bottom"/>
          </w:tcPr>
          <w:p>
            <w:pPr>
              <w:spacing w:after="0"/>
              <w:rPr>
                <w:sz w:val="1"/>
                <w:szCs w:val="1"/>
                <w:color w:val="auto"/>
              </w:rPr>
            </w:pPr>
          </w:p>
        </w:tc>
      </w:tr>
      <w:tr>
        <w:trPr>
          <w:trHeight w:val="176"/>
        </w:trPr>
        <w:tc>
          <w:tcPr>
            <w:tcW w:w="3300" w:type="dxa"/>
            <w:vAlign w:val="bottom"/>
            <w:shd w:val="clear" w:color="auto" w:fill="B6B6B6"/>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61,972 common shares pursuant</w:t>
            </w:r>
          </w:p>
        </w:tc>
        <w:tc>
          <w:tcPr>
            <w:tcW w:w="160" w:type="dxa"/>
            <w:vAlign w:val="bottom"/>
            <w:shd w:val="clear" w:color="auto" w:fill="B6B6B6"/>
          </w:tcPr>
          <w:p>
            <w:pPr>
              <w:spacing w:after="0"/>
              <w:rPr>
                <w:sz w:val="15"/>
                <w:szCs w:val="15"/>
                <w:color w:val="auto"/>
              </w:rPr>
            </w:pPr>
          </w:p>
        </w:tc>
        <w:tc>
          <w:tcPr>
            <w:tcW w:w="98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112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98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14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to share-based compensation plans, net</w:t>
            </w:r>
          </w:p>
        </w:tc>
        <w:tc>
          <w:tcPr>
            <w:tcW w:w="160" w:type="dxa"/>
            <w:vAlign w:val="bottom"/>
            <w:shd w:val="clear" w:color="auto" w:fill="B6B6B6"/>
          </w:tcPr>
          <w:p>
            <w:pPr>
              <w:spacing w:after="0"/>
              <w:rPr>
                <w:sz w:val="21"/>
                <w:szCs w:val="21"/>
                <w:color w:val="auto"/>
              </w:rPr>
            </w:pPr>
          </w:p>
        </w:tc>
        <w:tc>
          <w:tcPr>
            <w:tcW w:w="98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8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9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48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30"/>
        </w:trPr>
        <w:tc>
          <w:tcPr>
            <w:tcW w:w="33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Purchase of 64,802 common shares</w:t>
            </w: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12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0" w:type="dxa"/>
            <w:vAlign w:val="bottom"/>
          </w:tcPr>
          <w:p>
            <w:pPr>
              <w:spacing w:after="0"/>
              <w:rPr>
                <w:sz w:val="1"/>
                <w:szCs w:val="1"/>
                <w:color w:val="auto"/>
              </w:rPr>
            </w:pPr>
          </w:p>
        </w:tc>
      </w:tr>
      <w:tr>
        <w:trPr>
          <w:trHeight w:val="230"/>
        </w:trPr>
        <w:tc>
          <w:tcPr>
            <w:tcW w:w="330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80" w:type="dxa"/>
            <w:vAlign w:val="bottom"/>
            <w:tcBorders>
              <w:bottom w:val="single" w:sz="8" w:color="B6B6B6"/>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0" w:type="dxa"/>
            <w:vAlign w:val="bottom"/>
          </w:tcPr>
          <w:p>
            <w:pPr>
              <w:spacing w:after="0"/>
              <w:rPr>
                <w:sz w:val="1"/>
                <w:szCs w:val="1"/>
                <w:color w:val="auto"/>
              </w:rPr>
            </w:pPr>
          </w:p>
        </w:tc>
      </w:tr>
      <w:tr>
        <w:trPr>
          <w:trHeight w:val="248"/>
        </w:trPr>
        <w:tc>
          <w:tcPr>
            <w:tcW w:w="330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March 31, 2026</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206,807</w:t>
            </w:r>
          </w:p>
        </w:tc>
        <w:tc>
          <w:tcPr>
            <w:tcW w:w="8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171,797</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(114,366)</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(30,199)</w:t>
            </w:r>
          </w:p>
        </w:tc>
        <w:tc>
          <w:tcPr>
            <w:tcW w:w="8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241,792</w:t>
            </w:r>
          </w:p>
        </w:tc>
        <w:tc>
          <w:tcPr>
            <w:tcW w:w="0" w:type="dxa"/>
            <w:vAlign w:val="bottom"/>
          </w:tcPr>
          <w:p>
            <w:pPr>
              <w:spacing w:after="0"/>
              <w:rPr>
                <w:sz w:val="1"/>
                <w:szCs w:val="1"/>
                <w:color w:val="auto"/>
              </w:rPr>
            </w:pPr>
          </w:p>
        </w:tc>
      </w:tr>
      <w:tr>
        <w:trPr>
          <w:trHeight w:val="20"/>
        </w:trPr>
        <w:tc>
          <w:tcPr>
            <w:tcW w:w="33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8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12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8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4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B6B6B6"/>
              <w:bottom w:val="single" w:sz="8" w:color="auto"/>
            </w:tcBorders>
          </w:tcPr>
          <w:p>
            <w:pPr>
              <w:spacing w:after="0" w:line="20" w:lineRule="exact"/>
              <w:rPr>
                <w:sz w:val="1"/>
                <w:szCs w:val="1"/>
                <w:color w:val="auto"/>
              </w:rPr>
            </w:pPr>
          </w:p>
        </w:tc>
        <w:tc>
          <w:tcPr>
            <w:tcW w:w="90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3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for interim financial information and with the instructions to Form 10-Q and Rule 10-01 of Regulation S-X. Accordingly, they do not include all of the information and notes required by U.S. generally accepted accounting principles for complete financial statements. In the opinion of management, all adjustments, consisting of normal recurring accruals, considered necessary for a fair presentation have been included. Certain amounts in prior-period financial statements have been reclassified to conform to the current period’s presentation. Such reclassifications have no effect on previously reported net income or shareholders’ equity. For further information, refer to the audited consolidated financial statements and related footnotes included in Cass Information System, Inc.’s (the “Company” or “Cass”) Annual Report on Form 10-K for the year ended December 31, 2025 ("2025 Form 10-K").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Discontinued Operations and Assets and Liabilities Held for Sale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7, 2025, the Company signed an Asset Purchase Agreement providing for the sale of its telecom expense management and managed mobility solutions business unit ("TEM Business Unit") to Asignet USA Inc ("Asignet") for a purchase price of $18.0 million. The sale closed on June 30, 2025. The Company also signed a Transition Services Agreement with Asignet to provide certain information technology, data ingestion, and payment processing services for a period of time not to exceed 18 months after closing.</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applied discontinued operations accounting in accordance with Accounting Standards Codification, or ASC, Topic 205-20, “Presentation of Financial Statements – Discontinued Operations,” to the assets and liabilities sold related to the Company's TEM Business Unit for the three months ended March 31, 2026, and 2025, as applicable. The sale of the TEM Business Unit represents a strategic shift due to the Company completely exiting both the telecom expense management and managed mobility solutions businesses. The Company did not allocate any consolidated interest that is not directly attributable to or related to discontinued operations. All financial information in the consolidated financial statements and notes to the consolidated financial statements is reported on a continuing operations basis, unless otherwise noted. The TEM Business Unit is included in the Information Services operating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discontinued operations, net of tax, for the three months ended March 31, 2026, and 2025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1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color w:val="auto"/>
              </w:rPr>
              <w:t>Fee Revenue and Other Income:</w:t>
            </w:r>
          </w:p>
        </w:tc>
        <w:tc>
          <w:tcPr>
            <w:tcW w:w="200" w:type="dxa"/>
            <w:vAlign w:val="bottom"/>
            <w:shd w:val="clear" w:color="auto" w:fill="B6B6B6"/>
          </w:tcPr>
          <w:p>
            <w:pPr>
              <w:spacing w:after="0"/>
              <w:rPr>
                <w:sz w:val="19"/>
                <w:szCs w:val="19"/>
                <w:color w:val="auto"/>
              </w:rPr>
            </w:pPr>
          </w:p>
        </w:tc>
        <w:tc>
          <w:tcPr>
            <w:tcW w:w="1280" w:type="dxa"/>
            <w:vAlign w:val="bottom"/>
            <w:shd w:val="clear" w:color="auto" w:fill="B6B6B6"/>
          </w:tcPr>
          <w:p>
            <w:pPr>
              <w:spacing w:after="0"/>
              <w:rPr>
                <w:sz w:val="19"/>
                <w:szCs w:val="19"/>
                <w:color w:val="auto"/>
              </w:rPr>
            </w:pPr>
          </w:p>
        </w:tc>
        <w:tc>
          <w:tcPr>
            <w:tcW w:w="120" w:type="dxa"/>
            <w:vAlign w:val="bottom"/>
            <w:shd w:val="clear" w:color="auto" w:fill="B6B6B6"/>
          </w:tcPr>
          <w:p>
            <w:pPr>
              <w:spacing w:after="0"/>
              <w:rPr>
                <w:sz w:val="19"/>
                <w:szCs w:val="19"/>
                <w:color w:val="auto"/>
              </w:rPr>
            </w:pPr>
          </w:p>
        </w:tc>
        <w:tc>
          <w:tcPr>
            <w:tcW w:w="340" w:type="dxa"/>
            <w:vAlign w:val="bottom"/>
            <w:shd w:val="clear" w:color="auto" w:fill="B6B6B6"/>
          </w:tcPr>
          <w:p>
            <w:pPr>
              <w:spacing w:after="0"/>
              <w:rPr>
                <w:sz w:val="19"/>
                <w:szCs w:val="19"/>
                <w:color w:val="auto"/>
              </w:rPr>
            </w:pPr>
          </w:p>
        </w:tc>
        <w:tc>
          <w:tcPr>
            <w:tcW w:w="1140" w:type="dxa"/>
            <w:vAlign w:val="bottom"/>
            <w:shd w:val="clear" w:color="auto" w:fill="B6B6B6"/>
          </w:tcPr>
          <w:p>
            <w:pPr>
              <w:spacing w:after="0"/>
              <w:rPr>
                <w:sz w:val="19"/>
                <w:szCs w:val="19"/>
                <w:color w:val="auto"/>
              </w:rPr>
            </w:pP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w:t>
            </w:r>
          </w:p>
        </w:tc>
      </w:tr>
      <w:tr>
        <w:trPr>
          <w:trHeight w:val="229"/>
        </w:trPr>
        <w:tc>
          <w:tcPr>
            <w:tcW w:w="81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200" w:type="dxa"/>
            <w:vAlign w:val="bottom"/>
            <w:shd w:val="clear" w:color="auto" w:fill="B6B6B6"/>
          </w:tcPr>
          <w:p>
            <w:pPr>
              <w:spacing w:after="0"/>
              <w:rPr>
                <w:sz w:val="19"/>
                <w:szCs w:val="19"/>
                <w:color w:val="auto"/>
              </w:rPr>
            </w:pPr>
          </w:p>
        </w:tc>
        <w:tc>
          <w:tcPr>
            <w:tcW w:w="140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6B6B6"/>
          </w:tcPr>
          <w:p>
            <w:pPr>
              <w:spacing w:after="0"/>
              <w:rPr>
                <w:sz w:val="19"/>
                <w:szCs w:val="19"/>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30"/>
        </w:trPr>
        <w:tc>
          <w:tcPr>
            <w:tcW w:w="816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tcBorders>
              <w:bottom w:val="single" w:sz="8" w:color="B6B6B6"/>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23"/>
        </w:trPr>
        <w:tc>
          <w:tcPr>
            <w:tcW w:w="81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fee revenue and other income</w:t>
            </w:r>
          </w:p>
        </w:tc>
        <w:tc>
          <w:tcPr>
            <w:tcW w:w="200" w:type="dxa"/>
            <w:vAlign w:val="bottom"/>
            <w:tcBorders>
              <w:bottom w:val="single" w:sz="8" w:color="auto"/>
            </w:tcBorders>
            <w:shd w:val="clear" w:color="auto" w:fill="B6B6B6"/>
          </w:tcPr>
          <w:p>
            <w:pPr>
              <w:spacing w:after="0"/>
              <w:rPr>
                <w:sz w:val="19"/>
                <w:szCs w:val="19"/>
                <w:color w:val="auto"/>
              </w:rPr>
            </w:pP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shd w:val="clear" w:color="auto" w:fill="B6B6B6"/>
          </w:tcPr>
          <w:p>
            <w:pPr>
              <w:spacing w:after="0"/>
              <w:rPr>
                <w:sz w:val="19"/>
                <w:szCs w:val="19"/>
                <w:color w:val="auto"/>
              </w:rPr>
            </w:pPr>
          </w:p>
        </w:tc>
        <w:tc>
          <w:tcPr>
            <w:tcW w:w="340" w:type="dxa"/>
            <w:vAlign w:val="bottom"/>
            <w:tcBorders>
              <w:bottom w:val="single" w:sz="8" w:color="auto"/>
            </w:tcBorders>
            <w:shd w:val="clear" w:color="auto" w:fill="B6B6B6"/>
          </w:tcPr>
          <w:p>
            <w:pPr>
              <w:spacing w:after="0"/>
              <w:rPr>
                <w:sz w:val="19"/>
                <w:szCs w:val="19"/>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4,618</w:t>
            </w:r>
          </w:p>
        </w:tc>
      </w:tr>
      <w:tr>
        <w:trPr>
          <w:trHeight w:val="183"/>
        </w:trPr>
        <w:tc>
          <w:tcPr>
            <w:tcW w:w="8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29"/>
        </w:trPr>
        <w:tc>
          <w:tcPr>
            <w:tcW w:w="81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200" w:type="dxa"/>
            <w:vAlign w:val="bottom"/>
            <w:shd w:val="clear" w:color="auto" w:fill="B6B6B6"/>
          </w:tcPr>
          <w:p>
            <w:pPr>
              <w:spacing w:after="0"/>
              <w:rPr>
                <w:sz w:val="19"/>
                <w:szCs w:val="19"/>
                <w:color w:val="auto"/>
              </w:rPr>
            </w:pPr>
          </w:p>
        </w:tc>
        <w:tc>
          <w:tcPr>
            <w:tcW w:w="1280" w:type="dxa"/>
            <w:vAlign w:val="bottom"/>
            <w:shd w:val="clear" w:color="auto" w:fill="B6B6B6"/>
          </w:tcPr>
          <w:p>
            <w:pPr>
              <w:spacing w:after="0"/>
              <w:rPr>
                <w:sz w:val="19"/>
                <w:szCs w:val="19"/>
                <w:color w:val="auto"/>
              </w:rPr>
            </w:pPr>
          </w:p>
        </w:tc>
        <w:tc>
          <w:tcPr>
            <w:tcW w:w="120" w:type="dxa"/>
            <w:vAlign w:val="bottom"/>
            <w:shd w:val="clear" w:color="auto" w:fill="B6B6B6"/>
          </w:tcPr>
          <w:p>
            <w:pPr>
              <w:spacing w:after="0"/>
              <w:rPr>
                <w:sz w:val="19"/>
                <w:szCs w:val="19"/>
                <w:color w:val="auto"/>
              </w:rPr>
            </w:pPr>
          </w:p>
        </w:tc>
        <w:tc>
          <w:tcPr>
            <w:tcW w:w="340" w:type="dxa"/>
            <w:vAlign w:val="bottom"/>
            <w:shd w:val="clear" w:color="auto" w:fill="B6B6B6"/>
          </w:tcPr>
          <w:p>
            <w:pPr>
              <w:spacing w:after="0"/>
              <w:rPr>
                <w:sz w:val="19"/>
                <w:szCs w:val="19"/>
                <w:color w:val="auto"/>
              </w:rPr>
            </w:pPr>
          </w:p>
        </w:tc>
        <w:tc>
          <w:tcPr>
            <w:tcW w:w="1140" w:type="dxa"/>
            <w:vAlign w:val="bottom"/>
            <w:shd w:val="clear" w:color="auto" w:fill="B6B6B6"/>
          </w:tcPr>
          <w:p>
            <w:pPr>
              <w:spacing w:after="0"/>
              <w:rPr>
                <w:sz w:val="19"/>
                <w:szCs w:val="19"/>
                <w:color w:val="auto"/>
              </w:rPr>
            </w:pP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Salaries and commissions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r>
      <w:tr>
        <w:trPr>
          <w:trHeight w:val="229"/>
        </w:trPr>
        <w:tc>
          <w:tcPr>
            <w:tcW w:w="81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shd w:val="clear" w:color="auto" w:fill="B6B6B6"/>
          </w:tcPr>
          <w:p>
            <w:pPr>
              <w:spacing w:after="0"/>
              <w:rPr>
                <w:sz w:val="19"/>
                <w:szCs w:val="19"/>
                <w:color w:val="auto"/>
              </w:rPr>
            </w:pPr>
          </w:p>
        </w:tc>
        <w:tc>
          <w:tcPr>
            <w:tcW w:w="140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6B6B6"/>
          </w:tcPr>
          <w:p>
            <w:pPr>
              <w:spacing w:after="0"/>
              <w:rPr>
                <w:sz w:val="19"/>
                <w:szCs w:val="19"/>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816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Other benefits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B6B6B6"/>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23"/>
        </w:trPr>
        <w:tc>
          <w:tcPr>
            <w:tcW w:w="81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personnel expenses</w:t>
            </w:r>
          </w:p>
        </w:tc>
        <w:tc>
          <w:tcPr>
            <w:tcW w:w="200" w:type="dxa"/>
            <w:vAlign w:val="bottom"/>
            <w:shd w:val="clear" w:color="auto" w:fill="B6B6B6"/>
          </w:tcPr>
          <w:p>
            <w:pPr>
              <w:spacing w:after="0"/>
              <w:rPr>
                <w:sz w:val="19"/>
                <w:szCs w:val="19"/>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shd w:val="clear" w:color="auto" w:fill="B6B6B6"/>
          </w:tcPr>
          <w:p>
            <w:pPr>
              <w:spacing w:after="0"/>
              <w:rPr>
                <w:sz w:val="19"/>
                <w:szCs w:val="19"/>
                <w:color w:val="auto"/>
              </w:rPr>
            </w:pPr>
          </w:p>
        </w:tc>
        <w:tc>
          <w:tcPr>
            <w:tcW w:w="340" w:type="dxa"/>
            <w:vAlign w:val="bottom"/>
            <w:shd w:val="clear" w:color="auto" w:fill="B6B6B6"/>
          </w:tcPr>
          <w:p>
            <w:pPr>
              <w:spacing w:after="0"/>
              <w:rPr>
                <w:sz w:val="19"/>
                <w:szCs w:val="19"/>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3,415</w:t>
            </w: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9"/>
        </w:trPr>
        <w:tc>
          <w:tcPr>
            <w:tcW w:w="81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200" w:type="dxa"/>
            <w:vAlign w:val="bottom"/>
            <w:shd w:val="clear" w:color="auto" w:fill="B6B6B6"/>
          </w:tcPr>
          <w:p>
            <w:pPr>
              <w:spacing w:after="0"/>
              <w:rPr>
                <w:sz w:val="19"/>
                <w:szCs w:val="19"/>
                <w:color w:val="auto"/>
              </w:rPr>
            </w:pPr>
          </w:p>
        </w:tc>
        <w:tc>
          <w:tcPr>
            <w:tcW w:w="140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6B6B6"/>
          </w:tcPr>
          <w:p>
            <w:pPr>
              <w:spacing w:after="0"/>
              <w:rPr>
                <w:sz w:val="19"/>
                <w:szCs w:val="19"/>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1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200" w:type="dxa"/>
            <w:vAlign w:val="bottom"/>
            <w:tcBorders>
              <w:bottom w:val="single" w:sz="8" w:color="auto"/>
            </w:tcBorders>
            <w:shd w:val="clear" w:color="auto" w:fill="B6B6B6"/>
          </w:tcPr>
          <w:p>
            <w:pPr>
              <w:spacing w:after="0"/>
              <w:rPr>
                <w:sz w:val="19"/>
                <w:szCs w:val="19"/>
                <w:color w:val="auto"/>
              </w:rPr>
            </w:pP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B6B6B6"/>
          </w:tcPr>
          <w:p>
            <w:pPr>
              <w:spacing w:after="0"/>
              <w:rPr>
                <w:sz w:val="19"/>
                <w:szCs w:val="19"/>
                <w:color w:val="auto"/>
              </w:rPr>
            </w:pPr>
          </w:p>
        </w:tc>
        <w:tc>
          <w:tcPr>
            <w:tcW w:w="340" w:type="dxa"/>
            <w:vAlign w:val="bottom"/>
            <w:tcBorders>
              <w:bottom w:val="single" w:sz="8" w:color="auto"/>
            </w:tcBorders>
            <w:shd w:val="clear" w:color="auto" w:fill="B6B6B6"/>
          </w:tcPr>
          <w:p>
            <w:pPr>
              <w:spacing w:after="0"/>
              <w:rPr>
                <w:sz w:val="19"/>
                <w:szCs w:val="19"/>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23"/>
        </w:trPr>
        <w:tc>
          <w:tcPr>
            <w:tcW w:w="8160" w:type="dxa"/>
            <w:vAlign w:val="bottom"/>
            <w:tcBorders>
              <w:bottom w:val="single" w:sz="8" w:color="B6B6B6"/>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Borders>
              <w:bottom w:val="single" w:sz="8" w:color="B6B6B6"/>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4,090</w:t>
            </w:r>
          </w:p>
        </w:tc>
      </w:tr>
      <w:tr>
        <w:trPr>
          <w:trHeight w:val="223"/>
        </w:trPr>
        <w:tc>
          <w:tcPr>
            <w:tcW w:w="81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before income tax expense</w:t>
            </w:r>
          </w:p>
        </w:tc>
        <w:tc>
          <w:tcPr>
            <w:tcW w:w="200" w:type="dxa"/>
            <w:vAlign w:val="bottom"/>
            <w:shd w:val="clear" w:color="auto" w:fill="B6B6B6"/>
          </w:tcPr>
          <w:p>
            <w:pPr>
              <w:spacing w:after="0"/>
              <w:rPr>
                <w:sz w:val="19"/>
                <w:szCs w:val="19"/>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B6B6B6"/>
          </w:tcPr>
          <w:p>
            <w:pPr>
              <w:spacing w:after="0"/>
              <w:rPr>
                <w:sz w:val="19"/>
                <w:szCs w:val="19"/>
                <w:color w:val="auto"/>
              </w:rPr>
            </w:pPr>
          </w:p>
        </w:tc>
        <w:tc>
          <w:tcPr>
            <w:tcW w:w="340" w:type="dxa"/>
            <w:vAlign w:val="bottom"/>
            <w:shd w:val="clear" w:color="auto" w:fill="B6B6B6"/>
          </w:tcPr>
          <w:p>
            <w:pPr>
              <w:spacing w:after="0"/>
              <w:rPr>
                <w:sz w:val="19"/>
                <w:szCs w:val="19"/>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29"/>
        </w:trPr>
        <w:tc>
          <w:tcPr>
            <w:tcW w:w="8160" w:type="dxa"/>
            <w:vAlign w:val="bottom"/>
            <w:tcBorders>
              <w:bottom w:val="single" w:sz="8" w:color="B6B6B6"/>
            </w:tcBorders>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B6B6B6"/>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48"/>
        </w:trPr>
        <w:tc>
          <w:tcPr>
            <w:tcW w:w="8160" w:type="dxa"/>
            <w:vAlign w:val="bottom"/>
            <w:tcBorders>
              <w:bottom w:val="single" w:sz="8" w:color="B6B6B6"/>
            </w:tcBorders>
            <w:shd w:val="clear" w:color="auto" w:fill="B6B6B6"/>
          </w:tcPr>
          <w:p>
            <w:pPr>
              <w:ind w:left="68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B6B6B6"/>
            </w:tcBorders>
            <w:shd w:val="clear" w:color="auto" w:fill="B6B6B6"/>
          </w:tcPr>
          <w:p>
            <w:pPr>
              <w:spacing w:after="0"/>
              <w:rPr>
                <w:sz w:val="21"/>
                <w:szCs w:val="21"/>
                <w:color w:val="auto"/>
              </w:rPr>
            </w:pPr>
          </w:p>
        </w:tc>
        <w:tc>
          <w:tcPr>
            <w:tcW w:w="34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0"/>
        </w:trPr>
        <w:tc>
          <w:tcPr>
            <w:tcW w:w="8160" w:type="dxa"/>
            <w:vAlign w:val="bottom"/>
            <w:tcBorders>
              <w:top w:val="single" w:sz="8" w:color="B6B6B6"/>
            </w:tcBorders>
          </w:tcPr>
          <w:p>
            <w:pPr>
              <w:spacing w:after="0" w:line="20" w:lineRule="exact"/>
              <w:rPr>
                <w:sz w:val="1"/>
                <w:szCs w:val="1"/>
                <w:color w:val="auto"/>
              </w:rPr>
            </w:pPr>
          </w:p>
        </w:tc>
        <w:tc>
          <w:tcPr>
            <w:tcW w:w="200" w:type="dxa"/>
            <w:vAlign w:val="bottom"/>
            <w:tcBorders>
              <w:top w:val="single" w:sz="8" w:color="B6B6B6"/>
              <w:bottom w:val="single" w:sz="8" w:color="auto"/>
            </w:tcBorders>
          </w:tcPr>
          <w:p>
            <w:pPr>
              <w:spacing w:after="0" w:line="20" w:lineRule="exact"/>
              <w:rPr>
                <w:sz w:val="1"/>
                <w:szCs w:val="1"/>
                <w:color w:val="auto"/>
              </w:rPr>
            </w:pPr>
          </w:p>
        </w:tc>
        <w:tc>
          <w:tcPr>
            <w:tcW w:w="1280" w:type="dxa"/>
            <w:vAlign w:val="bottom"/>
            <w:tcBorders>
              <w:top w:val="single" w:sz="8" w:color="B6B6B6"/>
              <w:bottom w:val="single" w:sz="8" w:color="auto"/>
            </w:tcBorders>
          </w:tcPr>
          <w:p>
            <w:pPr>
              <w:spacing w:after="0" w:line="20" w:lineRule="exact"/>
              <w:rPr>
                <w:sz w:val="1"/>
                <w:szCs w:val="1"/>
                <w:color w:val="auto"/>
              </w:rPr>
            </w:pPr>
          </w:p>
        </w:tc>
        <w:tc>
          <w:tcPr>
            <w:tcW w:w="120" w:type="dxa"/>
            <w:vAlign w:val="bottom"/>
            <w:tcBorders>
              <w:top w:val="single" w:sz="8" w:color="B6B6B6"/>
            </w:tcBorders>
          </w:tcPr>
          <w:p>
            <w:pPr>
              <w:spacing w:after="0" w:line="20" w:lineRule="exact"/>
              <w:rPr>
                <w:sz w:val="1"/>
                <w:szCs w:val="1"/>
                <w:color w:val="auto"/>
              </w:rPr>
            </w:pPr>
          </w:p>
        </w:tc>
        <w:tc>
          <w:tcPr>
            <w:tcW w:w="340" w:type="dxa"/>
            <w:vAlign w:val="bottom"/>
            <w:tcBorders>
              <w:top w:val="single" w:sz="8" w:color="B6B6B6"/>
              <w:bottom w:val="single" w:sz="8" w:color="auto"/>
            </w:tcBorders>
          </w:tcPr>
          <w:p>
            <w:pPr>
              <w:spacing w:after="0" w:line="20" w:lineRule="exact"/>
              <w:rPr>
                <w:sz w:val="1"/>
                <w:szCs w:val="1"/>
                <w:color w:val="auto"/>
              </w:rPr>
            </w:pPr>
          </w:p>
        </w:tc>
        <w:tc>
          <w:tcPr>
            <w:tcW w:w="1140" w:type="dxa"/>
            <w:vAlign w:val="bottom"/>
            <w:tcBorders>
              <w:top w:val="single" w:sz="8" w:color="B6B6B6"/>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Intangible Assets</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intangible assets in accordance with ASC 350,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which requires that intangibles with indefinite useful lives be tested annually for impairment, or when management deems there is a triggering event, and those with finite useful lives be amortized over their useful lives.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Details of the Company’s intangible assets are as follows: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4"/>
                <w:szCs w:val="24"/>
                <w:color w:val="auto"/>
              </w:rPr>
            </w:pPr>
          </w:p>
        </w:tc>
        <w:tc>
          <w:tcPr>
            <w:tcW w:w="296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80"/>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70"/>
              <w:spacing w:after="0" w:line="180" w:lineRule="exact"/>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ind w:left="40"/>
              <w:spacing w:after="0" w:line="180"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90"/>
              <w:spacing w:after="0" w:line="180"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0" w:type="dxa"/>
            <w:vAlign w:val="bottom"/>
          </w:tcPr>
          <w:p>
            <w:pPr>
              <w:spacing w:after="0"/>
              <w:rPr>
                <w:sz w:val="1"/>
                <w:szCs w:val="1"/>
                <w:color w:val="auto"/>
              </w:rPr>
            </w:pPr>
          </w:p>
        </w:tc>
      </w:tr>
      <w:tr>
        <w:trPr>
          <w:trHeight w:val="238"/>
        </w:trPr>
        <w:tc>
          <w:tcPr>
            <w:tcW w:w="502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50"/>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Assets eligible for amortization:</w:t>
            </w:r>
          </w:p>
        </w:tc>
        <w:tc>
          <w:tcPr>
            <w:tcW w:w="140" w:type="dxa"/>
            <w:vAlign w:val="bottom"/>
            <w:shd w:val="clear" w:color="auto" w:fill="B6B6B6"/>
          </w:tcPr>
          <w:p>
            <w:pPr>
              <w:spacing w:after="0"/>
              <w:rPr>
                <w:sz w:val="21"/>
                <w:szCs w:val="21"/>
                <w:color w:val="auto"/>
              </w:rPr>
            </w:pPr>
          </w:p>
        </w:tc>
        <w:tc>
          <w:tcPr>
            <w:tcW w:w="136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32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40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32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Customer lists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6,215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6,215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Software</w:t>
            </w:r>
          </w:p>
        </w:tc>
        <w:tc>
          <w:tcPr>
            <w:tcW w:w="1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5,512</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4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5,512</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0" w:type="dxa"/>
            <w:vAlign w:val="bottom"/>
          </w:tcPr>
          <w:p>
            <w:pPr>
              <w:spacing w:after="0"/>
              <w:rPr>
                <w:sz w:val="1"/>
                <w:szCs w:val="1"/>
                <w:color w:val="auto"/>
              </w:rPr>
            </w:pPr>
          </w:p>
        </w:tc>
      </w:tr>
      <w:tr>
        <w:trPr>
          <w:trHeight w:val="25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Unamortized intangible assets:</w:t>
            </w:r>
          </w:p>
        </w:tc>
        <w:tc>
          <w:tcPr>
            <w:tcW w:w="1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4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16,164</w:t>
            </w: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16,164</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28,264</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(8,665)</w:t>
            </w:r>
          </w:p>
        </w:tc>
        <w:tc>
          <w:tcPr>
            <w:tcW w:w="100" w:type="dxa"/>
            <w:vAlign w:val="bottom"/>
            <w:tcBorders>
              <w:bottom w:val="single" w:sz="8" w:color="auto"/>
            </w:tcBorders>
            <w:shd w:val="clear" w:color="auto" w:fill="B6B6B6"/>
          </w:tcPr>
          <w:p>
            <w:pPr>
              <w:spacing w:after="0"/>
              <w:rPr>
                <w:sz w:val="21"/>
                <w:szCs w:val="21"/>
                <w:color w:val="auto"/>
              </w:rPr>
            </w:pPr>
          </w:p>
        </w:tc>
        <w:tc>
          <w:tcPr>
            <w:tcW w:w="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28,264</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(8,372)</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customer lists are amortized over 5 to 10 years; software over 3 to 7 years; and the trade names over 10 to 20 years. Amortization of intangible assets amounted to $293,000 for both the three months ended March 31, 2026, and 2025, respectively. Estimated annual amortization of intangibles is $1.0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 2026, $730,000 in 2027 and 2028, $699,000 in 2029, and $197,000 in 2030.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Earnings Per Share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weighted-average number of common shares outstanding. Diluted earnings per share is computed by dividing net income by the sum of the weighted-average number of common shares outstanding and the weighted-average number of potential common shares outstanding.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The calculations of basic and diluted earnings per share are as follows: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340" w:type="dxa"/>
            <w:vAlign w:val="bottom"/>
          </w:tcPr>
          <w:p>
            <w:pPr>
              <w:spacing w:after="0"/>
              <w:rPr>
                <w:sz w:val="24"/>
                <w:szCs w:val="24"/>
                <w:color w:val="auto"/>
              </w:rPr>
            </w:pPr>
          </w:p>
        </w:tc>
        <w:tc>
          <w:tcPr>
            <w:tcW w:w="272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8180" w:type="dxa"/>
            <w:vAlign w:val="bottom"/>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B6B6B6"/>
            </w:tcBorders>
            <w:shd w:val="clear" w:color="auto" w:fill="B6B6B6"/>
          </w:tcPr>
          <w:p>
            <w:pPr>
              <w:spacing w:after="0"/>
              <w:rPr>
                <w:sz w:val="21"/>
                <w:szCs w:val="21"/>
                <w:color w:val="auto"/>
              </w:rPr>
            </w:pPr>
          </w:p>
        </w:tc>
        <w:tc>
          <w:tcPr>
            <w:tcW w:w="1160" w:type="dxa"/>
            <w:vAlign w:val="bottom"/>
            <w:tcBorders>
              <w:bottom w:val="single" w:sz="8" w:color="B6B6B6"/>
            </w:tcBorders>
            <w:shd w:val="clear" w:color="auto" w:fill="B6B6B6"/>
          </w:tcPr>
          <w:p>
            <w:pPr>
              <w:spacing w:after="0"/>
              <w:rPr>
                <w:sz w:val="21"/>
                <w:szCs w:val="21"/>
                <w:color w:val="auto"/>
              </w:rPr>
            </w:pPr>
          </w:p>
        </w:tc>
        <w:tc>
          <w:tcPr>
            <w:tcW w:w="520" w:type="dxa"/>
            <w:vAlign w:val="bottom"/>
            <w:tcBorders>
              <w:bottom w:val="single" w:sz="8" w:color="B6B6B6"/>
            </w:tcBorders>
            <w:shd w:val="clear" w:color="auto" w:fill="B6B6B6"/>
          </w:tcPr>
          <w:p>
            <w:pPr>
              <w:spacing w:after="0"/>
              <w:rPr>
                <w:sz w:val="21"/>
                <w:szCs w:val="21"/>
                <w:color w:val="auto"/>
              </w:rPr>
            </w:pPr>
          </w:p>
        </w:tc>
        <w:tc>
          <w:tcPr>
            <w:tcW w:w="1040" w:type="dxa"/>
            <w:vAlign w:val="bottom"/>
            <w:tcBorders>
              <w:bottom w:val="single" w:sz="8" w:color="B6B6B6"/>
            </w:tcBorders>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8,739</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0" w:type="dxa"/>
            <w:vAlign w:val="bottom"/>
          </w:tcPr>
          <w:p>
            <w:pPr>
              <w:spacing w:after="0"/>
              <w:rPr>
                <w:sz w:val="1"/>
                <w:szCs w:val="1"/>
                <w:color w:val="auto"/>
              </w:rPr>
            </w:pPr>
          </w:p>
        </w:tc>
      </w:tr>
      <w:tr>
        <w:trPr>
          <w:trHeight w:val="257"/>
        </w:trPr>
        <w:tc>
          <w:tcPr>
            <w:tcW w:w="8180" w:type="dxa"/>
            <w:vAlign w:val="bottom"/>
            <w:tcBorders>
              <w:bottom w:val="single" w:sz="8" w:color="auto"/>
            </w:tcBorders>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34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c>
          <w:tcPr>
            <w:tcW w:w="520" w:type="dxa"/>
            <w:vAlign w:val="bottom"/>
            <w:tcBorders>
              <w:bottom w:val="single" w:sz="8" w:color="auto"/>
            </w:tcBorders>
            <w:shd w:val="clear" w:color="auto" w:fill="B6B6B6"/>
          </w:tcPr>
          <w:p>
            <w:pPr>
              <w:spacing w:after="0"/>
              <w:rPr>
                <w:sz w:val="22"/>
                <w:szCs w:val="22"/>
                <w:color w:val="auto"/>
              </w:rPr>
            </w:pPr>
          </w:p>
        </w:tc>
        <w:tc>
          <w:tcPr>
            <w:tcW w:w="10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50"/>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8,832</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12,874,755</w:t>
            </w:r>
          </w:p>
        </w:tc>
        <w:tc>
          <w:tcPr>
            <w:tcW w:w="520" w:type="dxa"/>
            <w:vAlign w:val="bottom"/>
            <w:shd w:val="clear" w:color="auto" w:fill="B6B6B6"/>
          </w:tcPr>
          <w:p>
            <w:pPr>
              <w:spacing w:after="0"/>
              <w:rPr>
                <w:sz w:val="22"/>
                <w:szCs w:val="22"/>
                <w:color w:val="auto"/>
              </w:rPr>
            </w:pP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13,398,183</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earnings per share from continuing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0.68</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257"/>
        </w:trPr>
        <w:tc>
          <w:tcPr>
            <w:tcW w:w="8180" w:type="dxa"/>
            <w:vAlign w:val="bottom"/>
            <w:tcBorders>
              <w:bottom w:val="single" w:sz="8" w:color="auto"/>
            </w:tcBorders>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Basic earnings per share from discontinued operations</w:t>
            </w:r>
          </w:p>
        </w:tc>
        <w:tc>
          <w:tcPr>
            <w:tcW w:w="34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520" w:type="dxa"/>
            <w:vAlign w:val="bottom"/>
            <w:tcBorders>
              <w:bottom w:val="single" w:sz="8" w:color="auto"/>
            </w:tcBorders>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0.69</w:t>
            </w:r>
          </w:p>
        </w:tc>
        <w:tc>
          <w:tcPr>
            <w:tcW w:w="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57"/>
        </w:trPr>
        <w:tc>
          <w:tcPr>
            <w:tcW w:w="81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B6B6B6"/>
          </w:tcPr>
          <w:p>
            <w:pPr>
              <w:spacing w:after="0"/>
              <w:rPr>
                <w:sz w:val="21"/>
                <w:szCs w:val="21"/>
                <w:color w:val="auto"/>
              </w:rPr>
            </w:pPr>
          </w:p>
        </w:tc>
        <w:tc>
          <w:tcPr>
            <w:tcW w:w="1160" w:type="dxa"/>
            <w:vAlign w:val="bottom"/>
            <w:shd w:val="clear" w:color="auto" w:fill="B6B6B6"/>
          </w:tcPr>
          <w:p>
            <w:pPr>
              <w:spacing w:after="0"/>
              <w:rPr>
                <w:sz w:val="21"/>
                <w:szCs w:val="21"/>
                <w:color w:val="auto"/>
              </w:rPr>
            </w:pPr>
          </w:p>
        </w:tc>
        <w:tc>
          <w:tcPr>
            <w:tcW w:w="520" w:type="dxa"/>
            <w:vAlign w:val="bottom"/>
            <w:shd w:val="clear" w:color="auto" w:fill="B6B6B6"/>
          </w:tcPr>
          <w:p>
            <w:pPr>
              <w:spacing w:after="0"/>
              <w:rPr>
                <w:sz w:val="21"/>
                <w:szCs w:val="21"/>
                <w:color w:val="auto"/>
              </w:rPr>
            </w:pPr>
          </w:p>
        </w:tc>
        <w:tc>
          <w:tcPr>
            <w:tcW w:w="104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8,739</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0" w:type="dxa"/>
            <w:vAlign w:val="bottom"/>
          </w:tcPr>
          <w:p>
            <w:pPr>
              <w:spacing w:after="0"/>
              <w:rPr>
                <w:sz w:val="1"/>
                <w:szCs w:val="1"/>
                <w:color w:val="auto"/>
              </w:rPr>
            </w:pPr>
          </w:p>
        </w:tc>
      </w:tr>
      <w:tr>
        <w:trPr>
          <w:trHeight w:val="257"/>
        </w:trPr>
        <w:tc>
          <w:tcPr>
            <w:tcW w:w="8180" w:type="dxa"/>
            <w:vAlign w:val="bottom"/>
            <w:tcBorders>
              <w:bottom w:val="single" w:sz="8" w:color="auto"/>
            </w:tcBorders>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34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c>
          <w:tcPr>
            <w:tcW w:w="520" w:type="dxa"/>
            <w:vAlign w:val="bottom"/>
            <w:tcBorders>
              <w:bottom w:val="single" w:sz="8" w:color="auto"/>
            </w:tcBorders>
            <w:shd w:val="clear" w:color="auto" w:fill="B6B6B6"/>
          </w:tcPr>
          <w:p>
            <w:pPr>
              <w:spacing w:after="0"/>
              <w:rPr>
                <w:sz w:val="22"/>
                <w:szCs w:val="22"/>
                <w:color w:val="auto"/>
              </w:rPr>
            </w:pPr>
          </w:p>
        </w:tc>
        <w:tc>
          <w:tcPr>
            <w:tcW w:w="10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50"/>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8,832</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0" w:type="dxa"/>
            <w:vAlign w:val="bottom"/>
          </w:tcPr>
          <w:p>
            <w:pPr>
              <w:spacing w:after="0"/>
              <w:rPr>
                <w:sz w:val="1"/>
                <w:szCs w:val="1"/>
                <w:color w:val="auto"/>
              </w:rPr>
            </w:pPr>
          </w:p>
        </w:tc>
      </w:tr>
      <w:tr>
        <w:trPr>
          <w:trHeight w:val="263"/>
        </w:trPr>
        <w:tc>
          <w:tcPr>
            <w:tcW w:w="81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12,874,755</w:t>
            </w:r>
          </w:p>
        </w:tc>
        <w:tc>
          <w:tcPr>
            <w:tcW w:w="520" w:type="dxa"/>
            <w:vAlign w:val="bottom"/>
            <w:shd w:val="clear" w:color="auto" w:fill="B6B6B6"/>
          </w:tcPr>
          <w:p>
            <w:pPr>
              <w:spacing w:after="0"/>
              <w:rPr>
                <w:sz w:val="22"/>
                <w:szCs w:val="22"/>
                <w:color w:val="auto"/>
              </w:rPr>
            </w:pP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13,398,183</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Effect of dilutive restricted stock</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277,216</w:t>
            </w:r>
          </w:p>
        </w:tc>
        <w:tc>
          <w:tcPr>
            <w:tcW w:w="5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245,094</w:t>
            </w:r>
          </w:p>
        </w:tc>
        <w:tc>
          <w:tcPr>
            <w:tcW w:w="0" w:type="dxa"/>
            <w:vAlign w:val="bottom"/>
          </w:tcPr>
          <w:p>
            <w:pPr>
              <w:spacing w:after="0"/>
              <w:rPr>
                <w:sz w:val="1"/>
                <w:szCs w:val="1"/>
                <w:color w:val="auto"/>
              </w:rPr>
            </w:pPr>
          </w:p>
        </w:tc>
      </w:tr>
      <w:tr>
        <w:trPr>
          <w:trHeight w:val="257"/>
        </w:trPr>
        <w:tc>
          <w:tcPr>
            <w:tcW w:w="81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 assuming dilution</w:t>
            </w:r>
          </w:p>
        </w:tc>
        <w:tc>
          <w:tcPr>
            <w:tcW w:w="34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13,151,971</w:t>
            </w:r>
          </w:p>
        </w:tc>
        <w:tc>
          <w:tcPr>
            <w:tcW w:w="520" w:type="dxa"/>
            <w:vAlign w:val="bottom"/>
            <w:shd w:val="clear" w:color="auto" w:fill="B6B6B6"/>
          </w:tcPr>
          <w:p>
            <w:pPr>
              <w:spacing w:after="0"/>
              <w:rPr>
                <w:sz w:val="22"/>
                <w:szCs w:val="22"/>
                <w:color w:val="auto"/>
              </w:rPr>
            </w:pP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13,643,277</w:t>
            </w:r>
          </w:p>
        </w:tc>
        <w:tc>
          <w:tcPr>
            <w:tcW w:w="0" w:type="dxa"/>
            <w:vAlign w:val="bottom"/>
          </w:tcPr>
          <w:p>
            <w:pPr>
              <w:spacing w:after="0"/>
              <w:rPr>
                <w:sz w:val="1"/>
                <w:szCs w:val="1"/>
                <w:color w:val="auto"/>
              </w:rPr>
            </w:pP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0.66</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57"/>
        </w:trPr>
        <w:tc>
          <w:tcPr>
            <w:tcW w:w="8180" w:type="dxa"/>
            <w:vAlign w:val="bottom"/>
            <w:tcBorders>
              <w:bottom w:val="single" w:sz="8" w:color="auto"/>
            </w:tcBorders>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Diluted earnings per share from discontinued operations</w:t>
            </w:r>
          </w:p>
        </w:tc>
        <w:tc>
          <w:tcPr>
            <w:tcW w:w="34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520" w:type="dxa"/>
            <w:vAlign w:val="bottom"/>
            <w:tcBorders>
              <w:bottom w:val="single" w:sz="8" w:color="auto"/>
            </w:tcBorders>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0.67</w:t>
            </w:r>
          </w:p>
        </w:tc>
        <w:tc>
          <w:tcPr>
            <w:tcW w:w="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Stock Repurchases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a treasury stock buyback program pursuant to which, on November 6, 2025, the Board of Directors authorized the repurchase of up to 1,000,000 shares of the Company's common stock with no expiration date. The Company repurchased 64,802 and 116,109 shares during the three months ended March 31, 2026 and 2025, respectively. Repurchases may be made in the open market or through negotiated transactions from time to time depending on market conditions. As of March 31, 2026, the Company had 810,168 shares remaining available for repurchase under the program.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Industry Segment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services provided by the Company are classified into two reportable segments: Information Services and Banking Services. Each of these segments provides distinct services that are marketed through different channels and are consistent with the presentation of financial information to the chief operating decision maker to evaluate segment performance, develop strategy, and allocate resources. They are managed separately due to their unique service and processing requirements. The Company's chief operating decision maker is the President and Chief Executive Officer of Cass Information Systems' Inc.</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Services segment provides transportation, energy, telecommunication, and environmental invoice processing and payment services to large corporations. In addition, this segment provides church management software and on-line generosity services primarily for faith-based ministries. As discussed in Note 2 to the consolidated financial statements, the Company applied discontinued operations accounting to the assets and liabilities sold related to the TEM Business Unit for the three months ended March 31, 2026 and 2025, as applicable. The TEM Business Unit is included in the Information Services operating segment. The Banking Services segment provides banking services primarily to</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privately held businesses, franchise restaurants and faith-based ministries, as well as supporting the banking needs of the Information Services segment.</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accounting policies for segments are the same as those described in the summary of significant accounting policies in the Company’s 2025 Form 10-K. Management and the chief operating decision maker evaluates segment performance based on pre-tax income after allocations for corporate expenses. Transactions between segments are accounted for at what management believes to be fair value.</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Substantially all revenue originates from, and all long-lived assets are located within, the United States and no revenue from any customer of any segment exceeds 10% of the Company’s consolidated revenue.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Funding sources represent average balances and deposits generated by Information Services and Banking Services and there is no allocation methodology used. Banking Services interest income is determined by actual interest income on loans minus actual interest expense paid on deposits plus/minus an allocation for interest income or expense dependent on the remaining available liquidity of the segment. Information Services interest income is determined by multiplying available liquidity by actual yields on short-term investments and investment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difference between total segment interest income and overall total Company interest income is included in Corporate, Eliminations, and Other.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information about the Company’s operations in each industry segment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Information</w:t>
            </w:r>
          </w:p>
        </w:tc>
        <w:tc>
          <w:tcPr>
            <w:tcW w:w="280" w:type="dxa"/>
            <w:vAlign w:val="bottom"/>
          </w:tcPr>
          <w:p>
            <w:pPr>
              <w:spacing w:after="0"/>
              <w:rPr>
                <w:sz w:val="17"/>
                <w:szCs w:val="17"/>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Eliminations</w:t>
            </w:r>
          </w:p>
        </w:tc>
        <w:tc>
          <w:tcPr>
            <w:tcW w:w="320" w:type="dxa"/>
            <w:vAlign w:val="bottom"/>
          </w:tcPr>
          <w:p>
            <w:pPr>
              <w:spacing w:after="0"/>
              <w:rPr>
                <w:sz w:val="16"/>
                <w:szCs w:val="16"/>
                <w:color w:val="auto"/>
              </w:rPr>
            </w:pP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w:t>
            </w:r>
          </w:p>
        </w:tc>
        <w:tc>
          <w:tcPr>
            <w:tcW w:w="200" w:type="dxa"/>
            <w:vAlign w:val="bottom"/>
            <w:shd w:val="clear" w:color="auto" w:fill="B6B6B6"/>
          </w:tcPr>
          <w:p>
            <w:pPr>
              <w:spacing w:after="0"/>
              <w:rPr>
                <w:sz w:val="21"/>
                <w:szCs w:val="21"/>
                <w:color w:val="auto"/>
              </w:rPr>
            </w:pPr>
          </w:p>
        </w:tc>
        <w:tc>
          <w:tcPr>
            <w:tcW w:w="130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280" w:type="dxa"/>
            <w:vAlign w:val="bottom"/>
            <w:shd w:val="clear" w:color="auto" w:fill="B6B6B6"/>
          </w:tcPr>
          <w:p>
            <w:pPr>
              <w:spacing w:after="0"/>
              <w:rPr>
                <w:sz w:val="21"/>
                <w:szCs w:val="21"/>
                <w:color w:val="auto"/>
              </w:rPr>
            </w:pPr>
          </w:p>
        </w:tc>
        <w:tc>
          <w:tcPr>
            <w:tcW w:w="122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300" w:type="dxa"/>
            <w:vAlign w:val="bottom"/>
            <w:shd w:val="clear" w:color="auto" w:fill="B6B6B6"/>
          </w:tcPr>
          <w:p>
            <w:pPr>
              <w:spacing w:after="0"/>
              <w:rPr>
                <w:sz w:val="21"/>
                <w:szCs w:val="21"/>
                <w:color w:val="auto"/>
              </w:rPr>
            </w:pPr>
          </w:p>
        </w:tc>
        <w:tc>
          <w:tcPr>
            <w:tcW w:w="120" w:type="dxa"/>
            <w:vAlign w:val="bottom"/>
            <w:shd w:val="clear" w:color="auto" w:fill="B6B6B6"/>
          </w:tcPr>
          <w:p>
            <w:pPr>
              <w:spacing w:after="0"/>
              <w:rPr>
                <w:sz w:val="21"/>
                <w:szCs w:val="21"/>
                <w:color w:val="auto"/>
              </w:rPr>
            </w:pPr>
          </w:p>
        </w:tc>
        <w:tc>
          <w:tcPr>
            <w:tcW w:w="320" w:type="dxa"/>
            <w:vAlign w:val="bottom"/>
            <w:shd w:val="clear" w:color="auto" w:fill="B6B6B6"/>
          </w:tcPr>
          <w:p>
            <w:pPr>
              <w:spacing w:after="0"/>
              <w:rPr>
                <w:sz w:val="21"/>
                <w:szCs w:val="21"/>
                <w:color w:val="auto"/>
              </w:rPr>
            </w:pPr>
          </w:p>
        </w:tc>
        <w:tc>
          <w:tcPr>
            <w:tcW w:w="11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 revenue and other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26,740</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27,941</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Gain on sale of investment securities</w:t>
            </w:r>
          </w:p>
        </w:tc>
        <w:tc>
          <w:tcPr>
            <w:tcW w:w="200" w:type="dxa"/>
            <w:vAlign w:val="bottom"/>
            <w:shd w:val="clear" w:color="auto" w:fill="B6B6B6"/>
          </w:tcPr>
          <w:p>
            <w:pPr>
              <w:spacing w:after="0"/>
              <w:rPr>
                <w:sz w:val="22"/>
                <w:szCs w:val="22"/>
                <w:color w:val="auto"/>
              </w:rPr>
            </w:pPr>
          </w:p>
        </w:tc>
        <w:tc>
          <w:tcPr>
            <w:tcW w:w="1380" w:type="dxa"/>
            <w:vAlign w:val="bottom"/>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3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25,104</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57"/>
        </w:trPr>
        <w:tc>
          <w:tcPr>
            <w:tcW w:w="4980" w:type="dxa"/>
            <w:vAlign w:val="bottom"/>
            <w:tcBorders>
              <w:top w:val="single" w:sz="8" w:color="B6B6B6"/>
            </w:tcBorders>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net revenue</w:t>
            </w:r>
          </w:p>
        </w:tc>
        <w:tc>
          <w:tcPr>
            <w:tcW w:w="200" w:type="dxa"/>
            <w:vAlign w:val="bottom"/>
            <w:tcBorders>
              <w:top w:val="single" w:sz="8" w:color="auto"/>
            </w:tcBorders>
            <w:shd w:val="clear" w:color="auto" w:fill="B6B6B6"/>
          </w:tcPr>
          <w:p>
            <w:pPr>
              <w:spacing w:after="0"/>
              <w:rPr>
                <w:sz w:val="22"/>
                <w:szCs w:val="22"/>
                <w:color w:val="auto"/>
              </w:rPr>
            </w:pPr>
          </w:p>
        </w:tc>
        <w:tc>
          <w:tcPr>
            <w:tcW w:w="13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39,237</w:t>
            </w:r>
          </w:p>
        </w:tc>
        <w:tc>
          <w:tcPr>
            <w:tcW w:w="80" w:type="dxa"/>
            <w:vAlign w:val="bottom"/>
            <w:tcBorders>
              <w:top w:val="single" w:sz="8" w:color="B6B6B6"/>
            </w:tcBorders>
            <w:shd w:val="clear" w:color="auto" w:fill="B6B6B6"/>
          </w:tcPr>
          <w:p>
            <w:pPr>
              <w:spacing w:after="0"/>
              <w:rPr>
                <w:sz w:val="22"/>
                <w:szCs w:val="22"/>
                <w:color w:val="auto"/>
              </w:rPr>
            </w:pPr>
          </w:p>
        </w:tc>
        <w:tc>
          <w:tcPr>
            <w:tcW w:w="280" w:type="dxa"/>
            <w:vAlign w:val="bottom"/>
            <w:tcBorders>
              <w:top w:val="single" w:sz="8" w:color="auto"/>
            </w:tcBorders>
            <w:shd w:val="clear" w:color="auto" w:fill="B6B6B6"/>
          </w:tcPr>
          <w:p>
            <w:pPr>
              <w:spacing w:after="0"/>
              <w:rPr>
                <w:sz w:val="22"/>
                <w:szCs w:val="22"/>
                <w:color w:val="auto"/>
              </w:rPr>
            </w:pPr>
          </w:p>
        </w:tc>
        <w:tc>
          <w:tcPr>
            <w:tcW w:w="122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10,544</w:t>
            </w:r>
          </w:p>
        </w:tc>
        <w:tc>
          <w:tcPr>
            <w:tcW w:w="100" w:type="dxa"/>
            <w:vAlign w:val="bottom"/>
            <w:tcBorders>
              <w:top w:val="single" w:sz="8" w:color="B6B6B6"/>
            </w:tcBorders>
            <w:shd w:val="clear" w:color="auto" w:fill="B6B6B6"/>
          </w:tcPr>
          <w:p>
            <w:pPr>
              <w:spacing w:after="0"/>
              <w:rPr>
                <w:sz w:val="22"/>
                <w:szCs w:val="22"/>
                <w:color w:val="auto"/>
              </w:rPr>
            </w:pPr>
          </w:p>
        </w:tc>
        <w:tc>
          <w:tcPr>
            <w:tcW w:w="180" w:type="dxa"/>
            <w:vAlign w:val="bottom"/>
            <w:tcBorders>
              <w:top w:val="single" w:sz="8" w:color="auto"/>
            </w:tcBorders>
            <w:shd w:val="clear" w:color="auto" w:fill="B6B6B6"/>
          </w:tcPr>
          <w:p>
            <w:pPr>
              <w:spacing w:after="0"/>
              <w:rPr>
                <w:sz w:val="22"/>
                <w:szCs w:val="22"/>
                <w:color w:val="auto"/>
              </w:rPr>
            </w:pPr>
          </w:p>
        </w:tc>
        <w:tc>
          <w:tcPr>
            <w:tcW w:w="13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Borders>
              <w:top w:val="single" w:sz="8" w:color="B6B6B6"/>
            </w:tcBorders>
            <w:shd w:val="clear" w:color="auto" w:fill="B6B6B6"/>
          </w:tcPr>
          <w:p>
            <w:pPr>
              <w:spacing w:after="0"/>
              <w:rPr>
                <w:sz w:val="22"/>
                <w:szCs w:val="22"/>
                <w:color w:val="auto"/>
              </w:rPr>
            </w:pPr>
          </w:p>
        </w:tc>
        <w:tc>
          <w:tcPr>
            <w:tcW w:w="320" w:type="dxa"/>
            <w:vAlign w:val="bottom"/>
            <w:tcBorders>
              <w:top w:val="single" w:sz="8" w:color="auto"/>
            </w:tcBorders>
            <w:shd w:val="clear" w:color="auto" w:fill="B6B6B6"/>
          </w:tcPr>
          <w:p>
            <w:pPr>
              <w:spacing w:after="0"/>
              <w:rPr>
                <w:sz w:val="22"/>
                <w:szCs w:val="22"/>
                <w:color w:val="auto"/>
              </w:rPr>
            </w:pPr>
          </w:p>
        </w:tc>
        <w:tc>
          <w:tcPr>
            <w:tcW w:w="1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49,101</w:t>
            </w:r>
          </w:p>
        </w:tc>
        <w:tc>
          <w:tcPr>
            <w:tcW w:w="0" w:type="dxa"/>
            <w:vAlign w:val="bottom"/>
          </w:tcPr>
          <w:p>
            <w:pPr>
              <w:spacing w:after="0"/>
              <w:rPr>
                <w:sz w:val="1"/>
                <w:szCs w:val="1"/>
                <w:color w:val="auto"/>
              </w:rPr>
            </w:pPr>
          </w:p>
        </w:tc>
      </w:tr>
      <w:tr>
        <w:trPr>
          <w:trHeight w:val="95"/>
        </w:trPr>
        <w:tc>
          <w:tcPr>
            <w:tcW w:w="4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Personnel expenses</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24,099</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27,279</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Intersegment expense (income)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Other operating expense</w:t>
            </w:r>
          </w:p>
        </w:tc>
        <w:tc>
          <w:tcPr>
            <w:tcW w:w="200" w:type="dxa"/>
            <w:vAlign w:val="bottom"/>
            <w:tcBorders>
              <w:bottom w:val="single" w:sz="8" w:color="auto"/>
            </w:tcBorders>
            <w:shd w:val="clear" w:color="auto" w:fill="B6B6B6"/>
          </w:tcPr>
          <w:p>
            <w:pPr>
              <w:spacing w:after="0"/>
              <w:rPr>
                <w:sz w:val="22"/>
                <w:szCs w:val="22"/>
                <w:color w:val="auto"/>
              </w:rPr>
            </w:pP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80" w:type="dxa"/>
            <w:vAlign w:val="bottom"/>
            <w:shd w:val="clear" w:color="auto" w:fill="B6B6B6"/>
          </w:tcPr>
          <w:p>
            <w:pPr>
              <w:spacing w:after="0"/>
              <w:rPr>
                <w:sz w:val="22"/>
                <w:szCs w:val="22"/>
                <w:color w:val="auto"/>
              </w:rPr>
            </w:pPr>
          </w:p>
        </w:tc>
        <w:tc>
          <w:tcPr>
            <w:tcW w:w="280" w:type="dxa"/>
            <w:vAlign w:val="bottom"/>
            <w:tcBorders>
              <w:bottom w:val="single" w:sz="8" w:color="auto"/>
            </w:tcBorders>
            <w:shd w:val="clear" w:color="auto" w:fill="B6B6B6"/>
          </w:tcPr>
          <w:p>
            <w:pPr>
              <w:spacing w:after="0"/>
              <w:rPr>
                <w:sz w:val="22"/>
                <w:szCs w:val="22"/>
                <w:color w:val="auto"/>
              </w:rPr>
            </w:pPr>
          </w:p>
        </w:tc>
        <w:tc>
          <w:tcPr>
            <w:tcW w:w="1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shd w:val="clear" w:color="auto" w:fill="B6B6B6"/>
          </w:tcPr>
          <w:p>
            <w:pPr>
              <w:spacing w:after="0"/>
              <w:rPr>
                <w:sz w:val="22"/>
                <w:szCs w:val="22"/>
                <w:color w:val="auto"/>
              </w:rPr>
            </w:pPr>
          </w:p>
        </w:tc>
        <w:tc>
          <w:tcPr>
            <w:tcW w:w="180" w:type="dxa"/>
            <w:vAlign w:val="bottom"/>
            <w:tcBorders>
              <w:bottom w:val="single" w:sz="8" w:color="auto"/>
            </w:tcBorders>
            <w:shd w:val="clear" w:color="auto" w:fill="B6B6B6"/>
          </w:tcPr>
          <w:p>
            <w:pPr>
              <w:spacing w:after="0"/>
              <w:rPr>
                <w:sz w:val="22"/>
                <w:szCs w:val="22"/>
                <w:color w:val="auto"/>
              </w:rPr>
            </w:pP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B6B6B6"/>
          </w:tcPr>
          <w:p>
            <w:pPr>
              <w:spacing w:after="0"/>
              <w:rPr>
                <w:sz w:val="22"/>
                <w:szCs w:val="22"/>
                <w:color w:val="auto"/>
              </w:rPr>
            </w:pPr>
          </w:p>
        </w:tc>
        <w:tc>
          <w:tcPr>
            <w:tcW w:w="32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0" w:type="dxa"/>
            <w:vAlign w:val="bottom"/>
          </w:tcPr>
          <w:p>
            <w:pPr>
              <w:spacing w:after="0"/>
              <w:rPr>
                <w:sz w:val="1"/>
                <w:szCs w:val="1"/>
                <w:color w:val="auto"/>
              </w:rPr>
            </w:pPr>
          </w:p>
        </w:tc>
      </w:tr>
      <w:tr>
        <w:trPr>
          <w:trHeight w:val="250"/>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38,218</w:t>
            </w:r>
          </w:p>
        </w:tc>
        <w:tc>
          <w:tcPr>
            <w:tcW w:w="0" w:type="dxa"/>
            <w:vAlign w:val="bottom"/>
          </w:tcPr>
          <w:p>
            <w:pPr>
              <w:spacing w:after="0"/>
              <w:rPr>
                <w:sz w:val="1"/>
                <w:szCs w:val="1"/>
                <w:color w:val="auto"/>
              </w:rPr>
            </w:pPr>
          </w:p>
        </w:tc>
      </w:tr>
      <w:tr>
        <w:trPr>
          <w:trHeight w:val="256"/>
        </w:trPr>
        <w:tc>
          <w:tcPr>
            <w:tcW w:w="4980" w:type="dxa"/>
            <w:vAlign w:val="bottom"/>
            <w:tcBorders>
              <w:top w:val="single" w:sz="8" w:color="B6B6B6"/>
            </w:tcBorders>
            <w:shd w:val="clear" w:color="auto" w:fill="B6B6B6"/>
          </w:tcPr>
          <w:p>
            <w:pPr>
              <w:ind w:left="520"/>
              <w:spacing w:after="0"/>
              <w:rPr>
                <w:sz w:val="20"/>
                <w:szCs w:val="20"/>
                <w:color w:val="auto"/>
              </w:rPr>
            </w:pPr>
            <w:r>
              <w:rPr>
                <w:rFonts w:ascii="Times New Roman" w:cs="Times New Roman" w:eastAsia="Times New Roman" w:hAnsi="Times New Roman"/>
                <w:sz w:val="18"/>
                <w:szCs w:val="18"/>
                <w:color w:val="auto"/>
              </w:rPr>
              <w:t>Pre-tax income from continuing operations</w:t>
            </w:r>
          </w:p>
        </w:tc>
        <w:tc>
          <w:tcPr>
            <w:tcW w:w="200" w:type="dxa"/>
            <w:vAlign w:val="bottom"/>
            <w:tcBorders>
              <w:top w:val="single" w:sz="8" w:color="auto"/>
            </w:tcBorders>
            <w:shd w:val="clear" w:color="auto" w:fill="B6B6B6"/>
          </w:tcPr>
          <w:p>
            <w:pPr>
              <w:spacing w:after="0"/>
              <w:rPr>
                <w:sz w:val="22"/>
                <w:szCs w:val="22"/>
                <w:color w:val="auto"/>
              </w:rPr>
            </w:pPr>
          </w:p>
        </w:tc>
        <w:tc>
          <w:tcPr>
            <w:tcW w:w="13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80" w:type="dxa"/>
            <w:vAlign w:val="bottom"/>
            <w:tcBorders>
              <w:top w:val="single" w:sz="8" w:color="B6B6B6"/>
            </w:tcBorders>
            <w:shd w:val="clear" w:color="auto" w:fill="B6B6B6"/>
          </w:tcPr>
          <w:p>
            <w:pPr>
              <w:spacing w:after="0"/>
              <w:rPr>
                <w:sz w:val="22"/>
                <w:szCs w:val="22"/>
                <w:color w:val="auto"/>
              </w:rPr>
            </w:pPr>
          </w:p>
        </w:tc>
        <w:tc>
          <w:tcPr>
            <w:tcW w:w="280" w:type="dxa"/>
            <w:vAlign w:val="bottom"/>
            <w:tcBorders>
              <w:top w:val="single" w:sz="8" w:color="auto"/>
            </w:tcBorders>
            <w:shd w:val="clear" w:color="auto" w:fill="B6B6B6"/>
          </w:tcPr>
          <w:p>
            <w:pPr>
              <w:spacing w:after="0"/>
              <w:rPr>
                <w:sz w:val="22"/>
                <w:szCs w:val="22"/>
                <w:color w:val="auto"/>
              </w:rPr>
            </w:pPr>
          </w:p>
        </w:tc>
        <w:tc>
          <w:tcPr>
            <w:tcW w:w="122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100" w:type="dxa"/>
            <w:vAlign w:val="bottom"/>
            <w:tcBorders>
              <w:top w:val="single" w:sz="8" w:color="B6B6B6"/>
            </w:tcBorders>
            <w:shd w:val="clear" w:color="auto" w:fill="B6B6B6"/>
          </w:tcPr>
          <w:p>
            <w:pPr>
              <w:spacing w:after="0"/>
              <w:rPr>
                <w:sz w:val="22"/>
                <w:szCs w:val="22"/>
                <w:color w:val="auto"/>
              </w:rPr>
            </w:pPr>
          </w:p>
        </w:tc>
        <w:tc>
          <w:tcPr>
            <w:tcW w:w="180" w:type="dxa"/>
            <w:vAlign w:val="bottom"/>
            <w:tcBorders>
              <w:top w:val="single" w:sz="8" w:color="auto"/>
            </w:tcBorders>
            <w:shd w:val="clear" w:color="auto" w:fill="B6B6B6"/>
          </w:tcPr>
          <w:p>
            <w:pPr>
              <w:spacing w:after="0"/>
              <w:rPr>
                <w:sz w:val="22"/>
                <w:szCs w:val="22"/>
                <w:color w:val="auto"/>
              </w:rPr>
            </w:pPr>
          </w:p>
        </w:tc>
        <w:tc>
          <w:tcPr>
            <w:tcW w:w="13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Borders>
              <w:top w:val="single" w:sz="8" w:color="B6B6B6"/>
            </w:tcBorders>
            <w:shd w:val="clear" w:color="auto" w:fill="B6B6B6"/>
          </w:tcPr>
          <w:p>
            <w:pPr>
              <w:spacing w:after="0"/>
              <w:rPr>
                <w:sz w:val="22"/>
                <w:szCs w:val="22"/>
                <w:color w:val="auto"/>
              </w:rPr>
            </w:pPr>
          </w:p>
        </w:tc>
        <w:tc>
          <w:tcPr>
            <w:tcW w:w="320" w:type="dxa"/>
            <w:vAlign w:val="bottom"/>
            <w:tcBorders>
              <w:top w:val="single" w:sz="8" w:color="auto"/>
            </w:tcBorders>
            <w:shd w:val="clear" w:color="auto" w:fill="B6B6B6"/>
          </w:tcPr>
          <w:p>
            <w:pPr>
              <w:spacing w:after="0"/>
              <w:rPr>
                <w:sz w:val="22"/>
                <w:szCs w:val="22"/>
                <w:color w:val="auto"/>
              </w:rPr>
            </w:pPr>
          </w:p>
        </w:tc>
        <w:tc>
          <w:tcPr>
            <w:tcW w:w="1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10,883</w:t>
            </w:r>
          </w:p>
        </w:tc>
        <w:tc>
          <w:tcPr>
            <w:tcW w:w="0" w:type="dxa"/>
            <w:vAlign w:val="bottom"/>
          </w:tcPr>
          <w:p>
            <w:pPr>
              <w:spacing w:after="0"/>
              <w:rPr>
                <w:sz w:val="1"/>
                <w:szCs w:val="1"/>
                <w:color w:val="auto"/>
              </w:rPr>
            </w:pPr>
          </w:p>
        </w:tc>
      </w:tr>
      <w:tr>
        <w:trPr>
          <w:trHeight w:val="250"/>
        </w:trPr>
        <w:tc>
          <w:tcPr>
            <w:tcW w:w="4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Pre-tax income from discontinued operations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01"/>
        </w:trPr>
        <w:tc>
          <w:tcPr>
            <w:tcW w:w="4980" w:type="dxa"/>
            <w:vAlign w:val="bottom"/>
            <w:shd w:val="clear" w:color="auto" w:fill="B6B6B6"/>
          </w:tcPr>
          <w:p>
            <w:pPr>
              <w:spacing w:after="0"/>
              <w:rPr>
                <w:sz w:val="8"/>
                <w:szCs w:val="8"/>
                <w:color w:val="auto"/>
              </w:rPr>
            </w:pPr>
          </w:p>
        </w:tc>
        <w:tc>
          <w:tcPr>
            <w:tcW w:w="200" w:type="dxa"/>
            <w:vAlign w:val="bottom"/>
            <w:shd w:val="clear" w:color="auto" w:fill="B6B6B6"/>
          </w:tcPr>
          <w:p>
            <w:pPr>
              <w:spacing w:after="0"/>
              <w:rPr>
                <w:sz w:val="8"/>
                <w:szCs w:val="8"/>
                <w:color w:val="auto"/>
              </w:rPr>
            </w:pPr>
          </w:p>
        </w:tc>
        <w:tc>
          <w:tcPr>
            <w:tcW w:w="1300" w:type="dxa"/>
            <w:vAlign w:val="bottom"/>
            <w:shd w:val="clear" w:color="auto" w:fill="B6B6B6"/>
          </w:tcPr>
          <w:p>
            <w:pPr>
              <w:spacing w:after="0"/>
              <w:rPr>
                <w:sz w:val="8"/>
                <w:szCs w:val="8"/>
                <w:color w:val="auto"/>
              </w:rPr>
            </w:pPr>
          </w:p>
        </w:tc>
        <w:tc>
          <w:tcPr>
            <w:tcW w:w="80" w:type="dxa"/>
            <w:vAlign w:val="bottom"/>
            <w:shd w:val="clear" w:color="auto" w:fill="B6B6B6"/>
          </w:tcPr>
          <w:p>
            <w:pPr>
              <w:spacing w:after="0"/>
              <w:rPr>
                <w:sz w:val="8"/>
                <w:szCs w:val="8"/>
                <w:color w:val="auto"/>
              </w:rPr>
            </w:pPr>
          </w:p>
        </w:tc>
        <w:tc>
          <w:tcPr>
            <w:tcW w:w="280" w:type="dxa"/>
            <w:vAlign w:val="bottom"/>
            <w:shd w:val="clear" w:color="auto" w:fill="B6B6B6"/>
          </w:tcPr>
          <w:p>
            <w:pPr>
              <w:spacing w:after="0"/>
              <w:rPr>
                <w:sz w:val="8"/>
                <w:szCs w:val="8"/>
                <w:color w:val="auto"/>
              </w:rPr>
            </w:pPr>
          </w:p>
        </w:tc>
        <w:tc>
          <w:tcPr>
            <w:tcW w:w="1220" w:type="dxa"/>
            <w:vAlign w:val="bottom"/>
            <w:shd w:val="clear" w:color="auto" w:fill="B6B6B6"/>
          </w:tcPr>
          <w:p>
            <w:pPr>
              <w:spacing w:after="0"/>
              <w:rPr>
                <w:sz w:val="8"/>
                <w:szCs w:val="8"/>
                <w:color w:val="auto"/>
              </w:rPr>
            </w:pPr>
          </w:p>
        </w:tc>
        <w:tc>
          <w:tcPr>
            <w:tcW w:w="100" w:type="dxa"/>
            <w:vAlign w:val="bottom"/>
            <w:shd w:val="clear" w:color="auto" w:fill="B6B6B6"/>
          </w:tcPr>
          <w:p>
            <w:pPr>
              <w:spacing w:after="0"/>
              <w:rPr>
                <w:sz w:val="8"/>
                <w:szCs w:val="8"/>
                <w:color w:val="auto"/>
              </w:rPr>
            </w:pPr>
          </w:p>
        </w:tc>
        <w:tc>
          <w:tcPr>
            <w:tcW w:w="180" w:type="dxa"/>
            <w:vAlign w:val="bottom"/>
            <w:shd w:val="clear" w:color="auto" w:fill="B6B6B6"/>
          </w:tcPr>
          <w:p>
            <w:pPr>
              <w:spacing w:after="0"/>
              <w:rPr>
                <w:sz w:val="8"/>
                <w:szCs w:val="8"/>
                <w:color w:val="auto"/>
              </w:rPr>
            </w:pPr>
          </w:p>
        </w:tc>
        <w:tc>
          <w:tcPr>
            <w:tcW w:w="1300" w:type="dxa"/>
            <w:vAlign w:val="bottom"/>
            <w:shd w:val="clear" w:color="auto" w:fill="B6B6B6"/>
          </w:tcPr>
          <w:p>
            <w:pPr>
              <w:spacing w:after="0"/>
              <w:rPr>
                <w:sz w:val="8"/>
                <w:szCs w:val="8"/>
                <w:color w:val="auto"/>
              </w:rPr>
            </w:pPr>
          </w:p>
        </w:tc>
        <w:tc>
          <w:tcPr>
            <w:tcW w:w="120" w:type="dxa"/>
            <w:vAlign w:val="bottom"/>
            <w:shd w:val="clear" w:color="auto" w:fill="B6B6B6"/>
          </w:tcPr>
          <w:p>
            <w:pPr>
              <w:spacing w:after="0"/>
              <w:rPr>
                <w:sz w:val="8"/>
                <w:szCs w:val="8"/>
                <w:color w:val="auto"/>
              </w:rPr>
            </w:pPr>
          </w:p>
        </w:tc>
        <w:tc>
          <w:tcPr>
            <w:tcW w:w="320" w:type="dxa"/>
            <w:vAlign w:val="bottom"/>
            <w:shd w:val="clear" w:color="auto" w:fill="B6B6B6"/>
          </w:tcPr>
          <w:p>
            <w:pPr>
              <w:spacing w:after="0"/>
              <w:rPr>
                <w:sz w:val="8"/>
                <w:szCs w:val="8"/>
                <w:color w:val="auto"/>
              </w:rPr>
            </w:pPr>
          </w:p>
        </w:tc>
        <w:tc>
          <w:tcPr>
            <w:tcW w:w="1160" w:type="dxa"/>
            <w:vAlign w:val="bottom"/>
            <w:shd w:val="clear" w:color="auto" w:fill="B6B6B6"/>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16,164</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3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1,598,896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1,185,494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2,533,791</w:t>
            </w:r>
          </w:p>
        </w:tc>
        <w:tc>
          <w:tcPr>
            <w:tcW w:w="0" w:type="dxa"/>
            <w:vAlign w:val="bottom"/>
          </w:tcPr>
          <w:p>
            <w:pPr>
              <w:spacing w:after="0"/>
              <w:rPr>
                <w:sz w:val="1"/>
                <w:szCs w:val="1"/>
                <w:color w:val="auto"/>
              </w:rPr>
            </w:pPr>
          </w:p>
        </w:tc>
      </w:tr>
      <w:tr>
        <w:trPr>
          <w:trHeight w:val="257"/>
        </w:trPr>
        <w:tc>
          <w:tcPr>
            <w:tcW w:w="4980" w:type="dxa"/>
            <w:vAlign w:val="bottom"/>
            <w:tcBorders>
              <w:bottom w:val="single" w:sz="8" w:color="auto"/>
            </w:tcBorders>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Average funding sources</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1,429,208</w:t>
            </w:r>
          </w:p>
        </w:tc>
        <w:tc>
          <w:tcPr>
            <w:tcW w:w="80" w:type="dxa"/>
            <w:vAlign w:val="bottom"/>
            <w:tcBorders>
              <w:bottom w:val="single" w:sz="8" w:color="auto"/>
            </w:tcBorders>
            <w:shd w:val="clear" w:color="auto" w:fill="B6B6B6"/>
          </w:tcPr>
          <w:p>
            <w:pPr>
              <w:spacing w:after="0"/>
              <w:rPr>
                <w:sz w:val="22"/>
                <w:szCs w:val="22"/>
                <w:color w:val="auto"/>
              </w:rPr>
            </w:pPr>
          </w:p>
        </w:tc>
        <w:tc>
          <w:tcPr>
            <w:tcW w:w="28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797,496</w:t>
            </w:r>
          </w:p>
        </w:tc>
        <w:tc>
          <w:tcPr>
            <w:tcW w:w="100" w:type="dxa"/>
            <w:vAlign w:val="bottom"/>
            <w:tcBorders>
              <w:bottom w:val="single" w:sz="8" w:color="auto"/>
            </w:tcBorders>
            <w:shd w:val="clear" w:color="auto" w:fill="B6B6B6"/>
          </w:tcPr>
          <w:p>
            <w:pPr>
              <w:spacing w:after="0"/>
              <w:rPr>
                <w:sz w:val="22"/>
                <w:szCs w:val="22"/>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2,226,704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Information</w:t>
            </w:r>
          </w:p>
        </w:tc>
        <w:tc>
          <w:tcPr>
            <w:tcW w:w="280" w:type="dxa"/>
            <w:vAlign w:val="bottom"/>
          </w:tcPr>
          <w:p>
            <w:pPr>
              <w:spacing w:after="0"/>
              <w:rPr>
                <w:sz w:val="17"/>
                <w:szCs w:val="17"/>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Eliminations</w:t>
            </w:r>
          </w:p>
        </w:tc>
        <w:tc>
          <w:tcPr>
            <w:tcW w:w="320" w:type="dxa"/>
            <w:vAlign w:val="bottom"/>
          </w:tcPr>
          <w:p>
            <w:pPr>
              <w:spacing w:after="0"/>
              <w:rPr>
                <w:sz w:val="16"/>
                <w:szCs w:val="16"/>
                <w:color w:val="auto"/>
              </w:rPr>
            </w:pP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2025:</w:t>
            </w:r>
          </w:p>
        </w:tc>
        <w:tc>
          <w:tcPr>
            <w:tcW w:w="200" w:type="dxa"/>
            <w:vAlign w:val="bottom"/>
            <w:shd w:val="clear" w:color="auto" w:fill="B6B6B6"/>
          </w:tcPr>
          <w:p>
            <w:pPr>
              <w:spacing w:after="0"/>
              <w:rPr>
                <w:sz w:val="21"/>
                <w:szCs w:val="21"/>
                <w:color w:val="auto"/>
              </w:rPr>
            </w:pPr>
          </w:p>
        </w:tc>
        <w:tc>
          <w:tcPr>
            <w:tcW w:w="130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280" w:type="dxa"/>
            <w:vAlign w:val="bottom"/>
            <w:shd w:val="clear" w:color="auto" w:fill="B6B6B6"/>
          </w:tcPr>
          <w:p>
            <w:pPr>
              <w:spacing w:after="0"/>
              <w:rPr>
                <w:sz w:val="21"/>
                <w:szCs w:val="21"/>
                <w:color w:val="auto"/>
              </w:rPr>
            </w:pPr>
          </w:p>
        </w:tc>
        <w:tc>
          <w:tcPr>
            <w:tcW w:w="122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300" w:type="dxa"/>
            <w:vAlign w:val="bottom"/>
            <w:shd w:val="clear" w:color="auto" w:fill="B6B6B6"/>
          </w:tcPr>
          <w:p>
            <w:pPr>
              <w:spacing w:after="0"/>
              <w:rPr>
                <w:sz w:val="21"/>
                <w:szCs w:val="21"/>
                <w:color w:val="auto"/>
              </w:rPr>
            </w:pPr>
          </w:p>
        </w:tc>
        <w:tc>
          <w:tcPr>
            <w:tcW w:w="120" w:type="dxa"/>
            <w:vAlign w:val="bottom"/>
            <w:shd w:val="clear" w:color="auto" w:fill="B6B6B6"/>
          </w:tcPr>
          <w:p>
            <w:pPr>
              <w:spacing w:after="0"/>
              <w:rPr>
                <w:sz w:val="21"/>
                <w:szCs w:val="21"/>
                <w:color w:val="auto"/>
              </w:rPr>
            </w:pPr>
          </w:p>
        </w:tc>
        <w:tc>
          <w:tcPr>
            <w:tcW w:w="320" w:type="dxa"/>
            <w:vAlign w:val="bottom"/>
            <w:shd w:val="clear" w:color="auto" w:fill="B6B6B6"/>
          </w:tcPr>
          <w:p>
            <w:pPr>
              <w:spacing w:after="0"/>
              <w:rPr>
                <w:sz w:val="21"/>
                <w:szCs w:val="21"/>
                <w:color w:val="auto"/>
              </w:rPr>
            </w:pPr>
          </w:p>
        </w:tc>
        <w:tc>
          <w:tcPr>
            <w:tcW w:w="11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 revenue and other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27,006</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28,056</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Loss on sale of investment securities</w:t>
            </w:r>
          </w:p>
        </w:tc>
        <w:tc>
          <w:tcPr>
            <w:tcW w:w="200" w:type="dxa"/>
            <w:vAlign w:val="bottom"/>
            <w:shd w:val="clear" w:color="auto" w:fill="B6B6B6"/>
          </w:tcPr>
          <w:p>
            <w:pPr>
              <w:spacing w:after="0"/>
              <w:rPr>
                <w:sz w:val="22"/>
                <w:szCs w:val="22"/>
                <w:color w:val="auto"/>
              </w:rPr>
            </w:pPr>
          </w:p>
        </w:tc>
        <w:tc>
          <w:tcPr>
            <w:tcW w:w="1380" w:type="dxa"/>
            <w:vAlign w:val="bottom"/>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3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23,390</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257"/>
        </w:trPr>
        <w:tc>
          <w:tcPr>
            <w:tcW w:w="4980" w:type="dxa"/>
            <w:vAlign w:val="bottom"/>
            <w:tcBorders>
              <w:top w:val="single" w:sz="8" w:color="B6B6B6"/>
            </w:tcBorders>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net revenue</w:t>
            </w:r>
          </w:p>
        </w:tc>
        <w:tc>
          <w:tcPr>
            <w:tcW w:w="200" w:type="dxa"/>
            <w:vAlign w:val="bottom"/>
            <w:tcBorders>
              <w:top w:val="single" w:sz="8" w:color="auto"/>
            </w:tcBorders>
            <w:shd w:val="clear" w:color="auto" w:fill="B6B6B6"/>
          </w:tcPr>
          <w:p>
            <w:pPr>
              <w:spacing w:after="0"/>
              <w:rPr>
                <w:sz w:val="22"/>
                <w:szCs w:val="22"/>
                <w:color w:val="auto"/>
              </w:rPr>
            </w:pPr>
          </w:p>
        </w:tc>
        <w:tc>
          <w:tcPr>
            <w:tcW w:w="13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37,304</w:t>
            </w:r>
          </w:p>
        </w:tc>
        <w:tc>
          <w:tcPr>
            <w:tcW w:w="80" w:type="dxa"/>
            <w:vAlign w:val="bottom"/>
            <w:tcBorders>
              <w:top w:val="single" w:sz="8" w:color="B6B6B6"/>
            </w:tcBorders>
            <w:shd w:val="clear" w:color="auto" w:fill="B6B6B6"/>
          </w:tcPr>
          <w:p>
            <w:pPr>
              <w:spacing w:after="0"/>
              <w:rPr>
                <w:sz w:val="22"/>
                <w:szCs w:val="22"/>
                <w:color w:val="auto"/>
              </w:rPr>
            </w:pPr>
          </w:p>
        </w:tc>
        <w:tc>
          <w:tcPr>
            <w:tcW w:w="280" w:type="dxa"/>
            <w:vAlign w:val="bottom"/>
            <w:tcBorders>
              <w:top w:val="single" w:sz="8" w:color="auto"/>
            </w:tcBorders>
            <w:shd w:val="clear" w:color="auto" w:fill="B6B6B6"/>
          </w:tcPr>
          <w:p>
            <w:pPr>
              <w:spacing w:after="0"/>
              <w:rPr>
                <w:sz w:val="22"/>
                <w:szCs w:val="22"/>
                <w:color w:val="auto"/>
              </w:rPr>
            </w:pPr>
          </w:p>
        </w:tc>
        <w:tc>
          <w:tcPr>
            <w:tcW w:w="122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100" w:type="dxa"/>
            <w:vAlign w:val="bottom"/>
            <w:tcBorders>
              <w:top w:val="single" w:sz="8" w:color="B6B6B6"/>
            </w:tcBorders>
            <w:shd w:val="clear" w:color="auto" w:fill="B6B6B6"/>
          </w:tcPr>
          <w:p>
            <w:pPr>
              <w:spacing w:after="0"/>
              <w:rPr>
                <w:sz w:val="22"/>
                <w:szCs w:val="22"/>
                <w:color w:val="auto"/>
              </w:rPr>
            </w:pPr>
          </w:p>
        </w:tc>
        <w:tc>
          <w:tcPr>
            <w:tcW w:w="180" w:type="dxa"/>
            <w:vAlign w:val="bottom"/>
            <w:tcBorders>
              <w:top w:val="single" w:sz="8" w:color="auto"/>
            </w:tcBorders>
            <w:shd w:val="clear" w:color="auto" w:fill="B6B6B6"/>
          </w:tcPr>
          <w:p>
            <w:pPr>
              <w:spacing w:after="0"/>
              <w:rPr>
                <w:sz w:val="22"/>
                <w:szCs w:val="22"/>
                <w:color w:val="auto"/>
              </w:rPr>
            </w:pPr>
          </w:p>
        </w:tc>
        <w:tc>
          <w:tcPr>
            <w:tcW w:w="13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20" w:type="dxa"/>
            <w:vAlign w:val="bottom"/>
            <w:tcBorders>
              <w:top w:val="single" w:sz="8" w:color="B6B6B6"/>
            </w:tcBorders>
            <w:shd w:val="clear" w:color="auto" w:fill="B6B6B6"/>
          </w:tcPr>
          <w:p>
            <w:pPr>
              <w:spacing w:after="0"/>
              <w:rPr>
                <w:sz w:val="22"/>
                <w:szCs w:val="22"/>
                <w:color w:val="auto"/>
              </w:rPr>
            </w:pPr>
          </w:p>
        </w:tc>
        <w:tc>
          <w:tcPr>
            <w:tcW w:w="320" w:type="dxa"/>
            <w:vAlign w:val="bottom"/>
            <w:tcBorders>
              <w:top w:val="single" w:sz="8" w:color="auto"/>
            </w:tcBorders>
            <w:shd w:val="clear" w:color="auto" w:fill="B6B6B6"/>
          </w:tcPr>
          <w:p>
            <w:pPr>
              <w:spacing w:after="0"/>
              <w:rPr>
                <w:sz w:val="22"/>
                <w:szCs w:val="22"/>
                <w:color w:val="auto"/>
              </w:rPr>
            </w:pPr>
          </w:p>
        </w:tc>
        <w:tc>
          <w:tcPr>
            <w:tcW w:w="1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46,407</w:t>
            </w:r>
          </w:p>
        </w:tc>
        <w:tc>
          <w:tcPr>
            <w:tcW w:w="0" w:type="dxa"/>
            <w:vAlign w:val="bottom"/>
          </w:tcPr>
          <w:p>
            <w:pPr>
              <w:spacing w:after="0"/>
              <w:rPr>
                <w:sz w:val="1"/>
                <w:szCs w:val="1"/>
                <w:color w:val="auto"/>
              </w:rPr>
            </w:pPr>
          </w:p>
        </w:tc>
      </w:tr>
      <w:tr>
        <w:trPr>
          <w:trHeight w:val="94"/>
        </w:trPr>
        <w:tc>
          <w:tcPr>
            <w:tcW w:w="4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Personnel expenses</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24,121</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27,279</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Bad debt recovery</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Intersegment expense (income)</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B6B6B6"/>
            </w:tcBorders>
          </w:tcPr>
          <w:p>
            <w:pPr>
              <w:ind w:left="180"/>
              <w:spacing w:after="0"/>
              <w:rPr>
                <w:sz w:val="20"/>
                <w:szCs w:val="20"/>
                <w:color w:val="auto"/>
              </w:rPr>
            </w:pPr>
            <w:r>
              <w:rPr>
                <w:rFonts w:ascii="Times New Roman" w:cs="Times New Roman" w:eastAsia="Times New Roman" w:hAnsi="Times New Roman"/>
                <w:sz w:val="18"/>
                <w:szCs w:val="18"/>
                <w:color w:val="auto"/>
              </w:rPr>
              <w:t>Other operating expense</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80" w:type="dxa"/>
            <w:vAlign w:val="bottom"/>
            <w:tcBorders>
              <w:bottom w:val="single" w:sz="8" w:color="B6B6B6"/>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00" w:type="dxa"/>
            <w:vAlign w:val="bottom"/>
            <w:tcBorders>
              <w:bottom w:val="single" w:sz="8" w:color="B6B6B6"/>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B6B6B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0" w:type="dxa"/>
            <w:vAlign w:val="bottom"/>
          </w:tcPr>
          <w:p>
            <w:pPr>
              <w:spacing w:after="0"/>
              <w:rPr>
                <w:sz w:val="1"/>
                <w:szCs w:val="1"/>
                <w:color w:val="auto"/>
              </w:rPr>
            </w:pPr>
          </w:p>
        </w:tc>
      </w:tr>
      <w:tr>
        <w:trPr>
          <w:trHeight w:val="250"/>
        </w:trPr>
        <w:tc>
          <w:tcPr>
            <w:tcW w:w="49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operating expense</w:t>
            </w:r>
          </w:p>
        </w:tc>
        <w:tc>
          <w:tcPr>
            <w:tcW w:w="200" w:type="dxa"/>
            <w:vAlign w:val="bottom"/>
            <w:shd w:val="clear" w:color="auto" w:fill="B6B6B6"/>
          </w:tcPr>
          <w:p>
            <w:pPr>
              <w:spacing w:after="0"/>
              <w:rPr>
                <w:sz w:val="21"/>
                <w:szCs w:val="21"/>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30,814</w:t>
            </w:r>
          </w:p>
        </w:tc>
        <w:tc>
          <w:tcPr>
            <w:tcW w:w="80" w:type="dxa"/>
            <w:vAlign w:val="bottom"/>
            <w:shd w:val="clear" w:color="auto" w:fill="B6B6B6"/>
          </w:tcPr>
          <w:p>
            <w:pPr>
              <w:spacing w:after="0"/>
              <w:rPr>
                <w:sz w:val="21"/>
                <w:szCs w:val="21"/>
                <w:color w:val="auto"/>
              </w:rPr>
            </w:pPr>
          </w:p>
        </w:tc>
        <w:tc>
          <w:tcPr>
            <w:tcW w:w="280" w:type="dxa"/>
            <w:vAlign w:val="bottom"/>
            <w:shd w:val="clear" w:color="auto" w:fill="B6B6B6"/>
          </w:tcPr>
          <w:p>
            <w:pPr>
              <w:spacing w:after="0"/>
              <w:rPr>
                <w:sz w:val="21"/>
                <w:szCs w:val="21"/>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0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1"/>
                <w:szCs w:val="21"/>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35,530</w:t>
            </w:r>
          </w:p>
        </w:tc>
        <w:tc>
          <w:tcPr>
            <w:tcW w:w="0" w:type="dxa"/>
            <w:vAlign w:val="bottom"/>
          </w:tcPr>
          <w:p>
            <w:pPr>
              <w:spacing w:after="0"/>
              <w:rPr>
                <w:sz w:val="1"/>
                <w:szCs w:val="1"/>
                <w:color w:val="auto"/>
              </w:rPr>
            </w:pPr>
          </w:p>
        </w:tc>
      </w:tr>
      <w:tr>
        <w:trPr>
          <w:trHeight w:val="250"/>
        </w:trPr>
        <w:tc>
          <w:tcPr>
            <w:tcW w:w="4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Pre-tax income from continuing operations</w:t>
            </w:r>
          </w:p>
        </w:tc>
        <w:tc>
          <w:tcPr>
            <w:tcW w:w="2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10,877</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520"/>
              <w:spacing w:after="0"/>
              <w:rPr>
                <w:sz w:val="20"/>
                <w:szCs w:val="20"/>
                <w:color w:val="auto"/>
              </w:rPr>
            </w:pPr>
            <w:r>
              <w:rPr>
                <w:rFonts w:ascii="Times New Roman" w:cs="Times New Roman" w:eastAsia="Times New Roman" w:hAnsi="Times New Roman"/>
                <w:sz w:val="18"/>
                <w:szCs w:val="18"/>
                <w:color w:val="auto"/>
              </w:rPr>
              <w:t>Pre-tax income from discontinued operations</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3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94"/>
        </w:trPr>
        <w:tc>
          <w:tcPr>
            <w:tcW w:w="4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16,028</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16,164</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1,449,282</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1,213,879</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(344,704)</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2,318,457</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Average funding sources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1,338,134</w:t>
            </w: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767,276</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2,105,410</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Intersegment income (expense) primarily relates to payment processing fees paid by the Information Services segment to the Banking services segment. The Corporate elimination for total assets and interest income and interest expense primarily relates to allocated funds and related interest depending on funding needs of the operating segments.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Loans by Type</w:t>
            </w:r>
          </w:p>
        </w:tc>
        <w:tc>
          <w:tcPr>
            <w:tcW w:w="4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loans is as follows:</w:t>
            </w:r>
          </w:p>
        </w:tc>
        <w:tc>
          <w:tcPr>
            <w:tcW w:w="4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4420" w:type="dxa"/>
            <w:vAlign w:val="bottom"/>
          </w:tcPr>
          <w:p>
            <w:pPr>
              <w:spacing w:after="0"/>
              <w:rPr>
                <w:sz w:val="24"/>
                <w:szCs w:val="24"/>
                <w:color w:val="auto"/>
              </w:rPr>
            </w:pP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3980" w:type="dxa"/>
            <w:vAlign w:val="bottom"/>
            <w:tcBorders>
              <w:bottom w:val="single" w:sz="8" w:color="auto"/>
            </w:tcBorders>
            <w:vMerge w:val="continue"/>
          </w:tcPr>
          <w:p>
            <w:pPr>
              <w:spacing w:after="0"/>
              <w:rPr>
                <w:sz w:val="21"/>
                <w:szCs w:val="21"/>
                <w:color w:val="auto"/>
              </w:rPr>
            </w:pPr>
          </w:p>
        </w:tc>
        <w:tc>
          <w:tcPr>
            <w:tcW w:w="4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57"/>
        </w:trPr>
        <w:tc>
          <w:tcPr>
            <w:tcW w:w="39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44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577,873</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553,107</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4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442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Mortgage</w:t>
            </w:r>
          </w:p>
        </w:tc>
        <w:tc>
          <w:tcPr>
            <w:tcW w:w="44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96,606</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97,567</w:t>
            </w:r>
          </w:p>
        </w:tc>
        <w:tc>
          <w:tcPr>
            <w:tcW w:w="0" w:type="dxa"/>
            <w:vAlign w:val="bottom"/>
          </w:tcPr>
          <w:p>
            <w:pPr>
              <w:spacing w:after="0"/>
              <w:rPr>
                <w:sz w:val="1"/>
                <w:szCs w:val="1"/>
                <w:color w:val="auto"/>
              </w:rPr>
            </w:pPr>
          </w:p>
        </w:tc>
      </w:tr>
      <w:tr>
        <w:trPr>
          <w:trHeight w:val="263"/>
        </w:trPr>
        <w:tc>
          <w:tcPr>
            <w:tcW w:w="3980" w:type="dxa"/>
            <w:vAlign w:val="bottom"/>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Construction</w:t>
            </w:r>
          </w:p>
        </w:tc>
        <w:tc>
          <w:tcPr>
            <w:tcW w:w="442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17,501</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0" w:type="dxa"/>
            <w:vAlign w:val="bottom"/>
          </w:tcPr>
          <w:p>
            <w:pPr>
              <w:spacing w:after="0"/>
              <w:rPr>
                <w:sz w:val="1"/>
                <w:szCs w:val="1"/>
                <w:color w:val="auto"/>
              </w:rPr>
            </w:pPr>
          </w:p>
        </w:tc>
      </w:tr>
      <w:tr>
        <w:trPr>
          <w:trHeight w:val="250"/>
        </w:trPr>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4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80" w:type="dxa"/>
            <w:vAlign w:val="bottom"/>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Mortgage</w:t>
            </w:r>
          </w:p>
        </w:tc>
        <w:tc>
          <w:tcPr>
            <w:tcW w:w="442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356,369</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362,312</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Construction</w:t>
            </w:r>
          </w:p>
        </w:tc>
        <w:tc>
          <w:tcPr>
            <w:tcW w:w="4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40,381</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35,288</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auto"/>
            </w:tcBorders>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Total loans</w:t>
            </w:r>
          </w:p>
        </w:tc>
        <w:tc>
          <w:tcPr>
            <w:tcW w:w="44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1,088,730</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1,061,217</w:t>
            </w:r>
          </w:p>
        </w:tc>
        <w:tc>
          <w:tcPr>
            <w:tcW w:w="0" w:type="dxa"/>
            <w:vAlign w:val="bottom"/>
          </w:tcPr>
          <w:p>
            <w:pPr>
              <w:spacing w:after="0"/>
              <w:rPr>
                <w:sz w:val="1"/>
                <w:szCs w:val="1"/>
                <w:color w:val="auto"/>
              </w:rPr>
            </w:pPr>
          </w:p>
        </w:tc>
      </w:tr>
      <w:tr>
        <w:trPr>
          <w:trHeight w:val="918"/>
        </w:trPr>
        <w:tc>
          <w:tcPr>
            <w:tcW w:w="3980" w:type="dxa"/>
            <w:vAlign w:val="bottom"/>
          </w:tcPr>
          <w:p>
            <w:pPr>
              <w:spacing w:after="0"/>
              <w:rPr>
                <w:sz w:val="24"/>
                <w:szCs w:val="24"/>
                <w:color w:val="auto"/>
              </w:rPr>
            </w:pPr>
          </w:p>
        </w:tc>
        <w:tc>
          <w:tcPr>
            <w:tcW w:w="4420" w:type="dxa"/>
            <w:vAlign w:val="bottom"/>
          </w:tcPr>
          <w:p>
            <w:pPr>
              <w:jc w:val="right"/>
              <w:ind w:right="2530"/>
              <w:spacing w:after="0"/>
              <w:rPr>
                <w:sz w:val="20"/>
                <w:szCs w:val="20"/>
                <w:color w:val="auto"/>
              </w:rPr>
            </w:pPr>
            <w:r>
              <w:rPr>
                <w:rFonts w:ascii="Times New Roman" w:cs="Times New Roman" w:eastAsia="Times New Roman" w:hAnsi="Times New Roman"/>
                <w:sz w:val="18"/>
                <w:szCs w:val="18"/>
                <w:color w:val="auto"/>
              </w:rPr>
              <w:t>-12-</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980" w:type="dxa"/>
            <w:vAlign w:val="bottom"/>
            <w:tcBorders>
              <w:bottom w:val="single" w:sz="8" w:color="9A9A9A"/>
            </w:tcBorders>
          </w:tcPr>
          <w:p>
            <w:pPr>
              <w:spacing w:after="0"/>
              <w:rPr>
                <w:sz w:val="8"/>
                <w:szCs w:val="8"/>
                <w:color w:val="auto"/>
              </w:rPr>
            </w:pPr>
          </w:p>
        </w:tc>
        <w:tc>
          <w:tcPr>
            <w:tcW w:w="44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aging of loans past due by category at March 31, 2026 and December 31,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7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Performing</w:t>
            </w: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Nonperforming</w:t>
            </w: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90</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30-59</w:t>
            </w:r>
          </w:p>
        </w:tc>
        <w:tc>
          <w:tcPr>
            <w:tcW w:w="460" w:type="dxa"/>
            <w:vAlign w:val="bottom"/>
          </w:tcPr>
          <w:p>
            <w:pPr>
              <w:spacing w:after="0"/>
              <w:rPr>
                <w:sz w:val="15"/>
                <w:szCs w:val="15"/>
                <w:color w:val="auto"/>
              </w:rPr>
            </w:pPr>
          </w:p>
        </w:tc>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60-89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Days</w:t>
            </w:r>
          </w:p>
        </w:tc>
        <w:tc>
          <w:tcPr>
            <w:tcW w:w="320" w:type="dxa"/>
            <w:vAlign w:val="bottom"/>
          </w:tcPr>
          <w:p>
            <w:pPr>
              <w:spacing w:after="0"/>
              <w:rPr>
                <w:sz w:val="15"/>
                <w:szCs w:val="15"/>
                <w:color w:val="auto"/>
              </w:rPr>
            </w:pPr>
          </w:p>
        </w:tc>
        <w:tc>
          <w:tcPr>
            <w:tcW w:w="11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Non-</w:t>
            </w:r>
          </w:p>
        </w:tc>
        <w:tc>
          <w:tcPr>
            <w:tcW w:w="360" w:type="dxa"/>
            <w:vAlign w:val="bottom"/>
          </w:tcPr>
          <w:p>
            <w:pPr>
              <w:spacing w:after="0"/>
              <w:rPr>
                <w:sz w:val="15"/>
                <w:szCs w:val="15"/>
                <w:color w:val="auto"/>
              </w:rPr>
            </w:pPr>
          </w:p>
        </w:tc>
        <w:tc>
          <w:tcPr>
            <w:tcW w:w="10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5"/>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Pr>
          <w:p>
            <w:pPr>
              <w:spacing w:after="0"/>
              <w:rPr>
                <w:sz w:val="15"/>
                <w:szCs w:val="15"/>
                <w:color w:val="auto"/>
              </w:rPr>
            </w:pPr>
          </w:p>
        </w:tc>
        <w:tc>
          <w:tcPr>
            <w:tcW w:w="11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center"/>
              <w:ind w:right="21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and</w:t>
            </w: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Days</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Over</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accrual</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0" w:type="dxa"/>
            <w:vAlign w:val="bottom"/>
          </w:tcPr>
          <w:p>
            <w:pPr>
              <w:spacing w:after="0"/>
              <w:rPr>
                <w:sz w:val="1"/>
                <w:szCs w:val="1"/>
                <w:color w:val="auto"/>
              </w:rPr>
            </w:pPr>
          </w:p>
        </w:tc>
      </w:tr>
      <w:tr>
        <w:trPr>
          <w:trHeight w:val="257"/>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March 31, 2026</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577,873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577,873</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93,467</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B6B6B6"/>
          </w:tcPr>
          <w:p>
            <w:pPr>
              <w:spacing w:after="0"/>
              <w:rPr>
                <w:sz w:val="22"/>
                <w:szCs w:val="22"/>
                <w:color w:val="auto"/>
              </w:rPr>
            </w:pPr>
          </w:p>
        </w:tc>
        <w:tc>
          <w:tcPr>
            <w:tcW w:w="1120" w:type="dxa"/>
            <w:vAlign w:val="bottom"/>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96,606</w:t>
            </w: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17,501</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17,501</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356,369</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356,369</w:t>
            </w:r>
          </w:p>
        </w:tc>
        <w:tc>
          <w:tcPr>
            <w:tcW w:w="0" w:type="dxa"/>
            <w:vAlign w:val="bottom"/>
          </w:tcPr>
          <w:p>
            <w:pPr>
              <w:spacing w:after="0"/>
              <w:rPr>
                <w:sz w:val="1"/>
                <w:szCs w:val="1"/>
                <w:color w:val="auto"/>
              </w:rPr>
            </w:pPr>
          </w:p>
        </w:tc>
      </w:tr>
      <w:tr>
        <w:trPr>
          <w:trHeight w:val="257"/>
        </w:trPr>
        <w:tc>
          <w:tcPr>
            <w:tcW w:w="2760" w:type="dxa"/>
            <w:vAlign w:val="bottom"/>
            <w:tcBorders>
              <w:bottom w:val="single" w:sz="8" w:color="auto"/>
            </w:tcBorders>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40,381</w:t>
            </w:r>
          </w:p>
        </w:tc>
        <w:tc>
          <w:tcPr>
            <w:tcW w:w="24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6B6B6"/>
          </w:tcPr>
          <w:p>
            <w:pPr>
              <w:spacing w:after="0"/>
              <w:rPr>
                <w:sz w:val="22"/>
                <w:szCs w:val="22"/>
                <w:color w:val="auto"/>
              </w:rPr>
            </w:pPr>
          </w:p>
        </w:tc>
        <w:tc>
          <w:tcPr>
            <w:tcW w:w="10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40,381</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1,085,591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1,088,730</w:t>
            </w:r>
          </w:p>
        </w:tc>
        <w:tc>
          <w:tcPr>
            <w:tcW w:w="0" w:type="dxa"/>
            <w:vAlign w:val="bottom"/>
          </w:tcPr>
          <w:p>
            <w:pPr>
              <w:spacing w:after="0"/>
              <w:rPr>
                <w:sz w:val="1"/>
                <w:szCs w:val="1"/>
                <w:color w:val="auto"/>
              </w:rPr>
            </w:pPr>
          </w:p>
        </w:tc>
      </w:tr>
      <w:tr>
        <w:trPr>
          <w:trHeight w:val="257"/>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December 31, 2025</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549,337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553,107</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94,345</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B6B6B6"/>
          </w:tcPr>
          <w:p>
            <w:pPr>
              <w:spacing w:after="0"/>
              <w:rPr>
                <w:sz w:val="22"/>
                <w:szCs w:val="22"/>
                <w:color w:val="auto"/>
              </w:rPr>
            </w:pPr>
          </w:p>
        </w:tc>
        <w:tc>
          <w:tcPr>
            <w:tcW w:w="1120" w:type="dxa"/>
            <w:vAlign w:val="bottom"/>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97,567</w:t>
            </w: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12,943</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362,312</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362,312</w:t>
            </w:r>
          </w:p>
        </w:tc>
        <w:tc>
          <w:tcPr>
            <w:tcW w:w="0" w:type="dxa"/>
            <w:vAlign w:val="bottom"/>
          </w:tcPr>
          <w:p>
            <w:pPr>
              <w:spacing w:after="0"/>
              <w:rPr>
                <w:sz w:val="1"/>
                <w:szCs w:val="1"/>
                <w:color w:val="auto"/>
              </w:rPr>
            </w:pPr>
          </w:p>
        </w:tc>
      </w:tr>
      <w:tr>
        <w:trPr>
          <w:trHeight w:val="257"/>
        </w:trPr>
        <w:tc>
          <w:tcPr>
            <w:tcW w:w="2760" w:type="dxa"/>
            <w:vAlign w:val="bottom"/>
            <w:tcBorders>
              <w:bottom w:val="single" w:sz="8" w:color="auto"/>
            </w:tcBorders>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35,288</w:t>
            </w:r>
          </w:p>
        </w:tc>
        <w:tc>
          <w:tcPr>
            <w:tcW w:w="24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6B6B6"/>
          </w:tcPr>
          <w:p>
            <w:pPr>
              <w:spacing w:after="0"/>
              <w:rPr>
                <w:sz w:val="22"/>
                <w:szCs w:val="22"/>
                <w:color w:val="auto"/>
              </w:rPr>
            </w:pPr>
          </w:p>
        </w:tc>
        <w:tc>
          <w:tcPr>
            <w:tcW w:w="10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35,288</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1,054,225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1,061,217</w:t>
            </w:r>
          </w:p>
        </w:tc>
        <w:tc>
          <w:tcPr>
            <w:tcW w:w="0" w:type="dxa"/>
            <w:vAlign w:val="bottom"/>
          </w:tcPr>
          <w:p>
            <w:pPr>
              <w:spacing w:after="0"/>
              <w:rPr>
                <w:sz w:val="1"/>
                <w:szCs w:val="1"/>
                <w:color w:val="auto"/>
              </w:rPr>
            </w:pPr>
          </w:p>
        </w:tc>
      </w:tr>
      <w:tr>
        <w:trPr>
          <w:trHeight w:val="905"/>
        </w:trPr>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-13-</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7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credit exposure of the loan portfolio by internally assigned credit grade as of March 31, 2026 and December 31, 2025: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40" w:type="dxa"/>
            <w:vAlign w:val="bottom"/>
          </w:tcPr>
          <w:p>
            <w:pPr>
              <w:spacing w:after="0"/>
              <w:rPr>
                <w:sz w:val="17"/>
                <w:szCs w:val="17"/>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Performing</w:t>
            </w:r>
          </w:p>
        </w:tc>
        <w:tc>
          <w:tcPr>
            <w:tcW w:w="260" w:type="dxa"/>
            <w:vAlign w:val="bottom"/>
          </w:tcPr>
          <w:p>
            <w:pPr>
              <w:spacing w:after="0"/>
              <w:rPr>
                <w:sz w:val="17"/>
                <w:szCs w:val="17"/>
                <w:color w:val="auto"/>
              </w:rPr>
            </w:pPr>
          </w:p>
        </w:tc>
        <w:tc>
          <w:tcPr>
            <w:tcW w:w="15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Nonperforming</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jc w:val="center"/>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Subject to</w:t>
            </w:r>
          </w:p>
        </w:tc>
        <w:tc>
          <w:tcPr>
            <w:tcW w:w="240" w:type="dxa"/>
            <w:vAlign w:val="bottom"/>
          </w:tcPr>
          <w:p>
            <w:pPr>
              <w:spacing w:after="0"/>
              <w:rPr>
                <w:sz w:val="17"/>
                <w:szCs w:val="17"/>
                <w:color w:val="auto"/>
              </w:rPr>
            </w:pPr>
          </w:p>
        </w:tc>
        <w:tc>
          <w:tcPr>
            <w:tcW w:w="136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rPr>
              <w:t>Loans Subject</w:t>
            </w:r>
          </w:p>
        </w:tc>
        <w:tc>
          <w:tcPr>
            <w:tcW w:w="260" w:type="dxa"/>
            <w:vAlign w:val="bottom"/>
          </w:tcPr>
          <w:p>
            <w:pPr>
              <w:spacing w:after="0"/>
              <w:rPr>
                <w:sz w:val="17"/>
                <w:szCs w:val="17"/>
                <w:color w:val="auto"/>
              </w:rPr>
            </w:pPr>
          </w:p>
        </w:tc>
        <w:tc>
          <w:tcPr>
            <w:tcW w:w="154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rPr>
              <w:t>Loans Subject</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5"/>
        </w:trPr>
        <w:tc>
          <w:tcPr>
            <w:tcW w:w="3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Normal</w:t>
            </w:r>
          </w:p>
        </w:tc>
        <w:tc>
          <w:tcPr>
            <w:tcW w:w="24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to Special</w:t>
            </w:r>
          </w:p>
        </w:tc>
        <w:tc>
          <w:tcPr>
            <w:tcW w:w="260" w:type="dxa"/>
            <w:vAlign w:val="bottom"/>
          </w:tcPr>
          <w:p>
            <w:pPr>
              <w:spacing w:after="0"/>
              <w:rPr>
                <w:sz w:val="18"/>
                <w:szCs w:val="18"/>
                <w:color w:val="auto"/>
              </w:rPr>
            </w:pPr>
          </w:p>
        </w:tc>
        <w:tc>
          <w:tcPr>
            <w:tcW w:w="15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to Special</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6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5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30"/>
              <w:spacing w:after="0" w:line="253"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3"/>
                <w:szCs w:val="23"/>
                <w:b w:val="1"/>
                <w:bCs w:val="1"/>
                <w:color w:val="auto"/>
                <w:w w:val="98"/>
                <w:vertAlign w:val="superscript"/>
              </w:rPr>
              <w:t>1</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90"/>
              <w:spacing w:after="0" w:line="253"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3"/>
                <w:szCs w:val="23"/>
                <w:b w:val="1"/>
                <w:bCs w:val="1"/>
                <w:color w:val="auto"/>
                <w:w w:val="98"/>
                <w:vertAlign w:val="superscript"/>
              </w:rPr>
              <w:t>2</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110"/>
              <w:spacing w:after="0" w:line="253"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3"/>
                <w:szCs w:val="23"/>
                <w:b w:val="1"/>
                <w:bCs w:val="1"/>
                <w:color w:val="auto"/>
                <w:w w:val="98"/>
                <w:vertAlign w:val="superscript"/>
              </w:rPr>
              <w:t>2</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 Loans</w:t>
            </w:r>
          </w:p>
        </w:tc>
      </w:tr>
      <w:tr>
        <w:trPr>
          <w:trHeight w:val="256"/>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March 31, 2026</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560,799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17,074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577,873</w:t>
            </w:r>
          </w:p>
        </w:tc>
      </w:tr>
      <w:tr>
        <w:trPr>
          <w:trHeight w:val="263"/>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80,980</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12,487</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3,139</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96,606</w:t>
            </w: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17,501</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17,501</w:t>
            </w:r>
          </w:p>
        </w:tc>
      </w:tr>
      <w:tr>
        <w:trPr>
          <w:trHeight w:val="263"/>
        </w:trPr>
        <w:tc>
          <w:tcPr>
            <w:tcW w:w="33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353,189</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3,180</w:t>
            </w:r>
          </w:p>
        </w:tc>
        <w:tc>
          <w:tcPr>
            <w:tcW w:w="2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356,369</w:t>
            </w:r>
          </w:p>
        </w:tc>
      </w:tr>
      <w:tr>
        <w:trPr>
          <w:trHeight w:val="257"/>
        </w:trPr>
        <w:tc>
          <w:tcPr>
            <w:tcW w:w="3320" w:type="dxa"/>
            <w:vAlign w:val="bottom"/>
            <w:tcBorders>
              <w:bottom w:val="single" w:sz="8" w:color="auto"/>
            </w:tcBorders>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40,381</w:t>
            </w:r>
          </w:p>
        </w:tc>
        <w:tc>
          <w:tcPr>
            <w:tcW w:w="240" w:type="dxa"/>
            <w:vAlign w:val="bottom"/>
            <w:tcBorders>
              <w:bottom w:val="single" w:sz="8" w:color="auto"/>
            </w:tcBorders>
            <w:shd w:val="clear" w:color="auto" w:fill="B6B6B6"/>
          </w:tcPr>
          <w:p>
            <w:pPr>
              <w:spacing w:after="0"/>
              <w:rPr>
                <w:sz w:val="22"/>
                <w:szCs w:val="22"/>
                <w:color w:val="auto"/>
              </w:rPr>
            </w:pP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B6B6B6"/>
          </w:tcPr>
          <w:p>
            <w:pPr>
              <w:spacing w:after="0"/>
              <w:rPr>
                <w:sz w:val="22"/>
                <w:szCs w:val="22"/>
                <w:color w:val="auto"/>
              </w:rPr>
            </w:pPr>
          </w:p>
        </w:tc>
        <w:tc>
          <w:tcPr>
            <w:tcW w:w="15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40,381</w:t>
            </w:r>
          </w:p>
        </w:tc>
      </w:tr>
      <w:tr>
        <w:trPr>
          <w:trHeight w:val="25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1,052,850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32,741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3,139</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1,088,730</w:t>
            </w:r>
          </w:p>
        </w:tc>
      </w:tr>
      <w:tr>
        <w:trPr>
          <w:trHeight w:val="257"/>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December 31, 2025</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531,443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17,894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553,107</w:t>
            </w:r>
          </w:p>
        </w:tc>
      </w:tr>
      <w:tr>
        <w:trPr>
          <w:trHeight w:val="263"/>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81,744</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12,601</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3,222</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97,567</w:t>
            </w: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12,943</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12,943</w:t>
            </w:r>
          </w:p>
        </w:tc>
      </w:tr>
      <w:tr>
        <w:trPr>
          <w:trHeight w:val="263"/>
        </w:trPr>
        <w:tc>
          <w:tcPr>
            <w:tcW w:w="33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358,691</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3,621</w:t>
            </w:r>
          </w:p>
        </w:tc>
        <w:tc>
          <w:tcPr>
            <w:tcW w:w="2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362,312</w:t>
            </w:r>
          </w:p>
        </w:tc>
      </w:tr>
      <w:tr>
        <w:trPr>
          <w:trHeight w:val="257"/>
        </w:trPr>
        <w:tc>
          <w:tcPr>
            <w:tcW w:w="3320" w:type="dxa"/>
            <w:vAlign w:val="bottom"/>
            <w:tcBorders>
              <w:bottom w:val="single" w:sz="8" w:color="auto"/>
            </w:tcBorders>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35,288</w:t>
            </w:r>
          </w:p>
        </w:tc>
        <w:tc>
          <w:tcPr>
            <w:tcW w:w="240" w:type="dxa"/>
            <w:vAlign w:val="bottom"/>
            <w:tcBorders>
              <w:bottom w:val="single" w:sz="8" w:color="auto"/>
            </w:tcBorders>
            <w:shd w:val="clear" w:color="auto" w:fill="B6B6B6"/>
          </w:tcPr>
          <w:p>
            <w:pPr>
              <w:spacing w:after="0"/>
              <w:rPr>
                <w:sz w:val="22"/>
                <w:szCs w:val="22"/>
                <w:color w:val="auto"/>
              </w:rPr>
            </w:pP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B6B6B6"/>
          </w:tcPr>
          <w:p>
            <w:pPr>
              <w:spacing w:after="0"/>
              <w:rPr>
                <w:sz w:val="22"/>
                <w:szCs w:val="22"/>
                <w:color w:val="auto"/>
              </w:rPr>
            </w:pPr>
          </w:p>
        </w:tc>
        <w:tc>
          <w:tcPr>
            <w:tcW w:w="15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35,288</w:t>
            </w:r>
          </w:p>
        </w:tc>
      </w:tr>
      <w:tr>
        <w:trPr>
          <w:trHeight w:val="25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1,020,109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34,116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6,992</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1,061,217</w:t>
            </w:r>
          </w:p>
        </w:tc>
      </w:tr>
    </w:tbl>
    <w:p>
      <w:pPr>
        <w:spacing w:after="0" w:line="292" w:lineRule="exact"/>
        <w:rPr>
          <w:sz w:val="20"/>
          <w:szCs w:val="20"/>
          <w:color w:val="auto"/>
        </w:rPr>
      </w:pPr>
    </w:p>
    <w:p>
      <w:pPr>
        <w:ind w:left="20" w:right="200" w:firstLine="6"/>
        <w:spacing w:after="0" w:line="208" w:lineRule="auto"/>
        <w:tabs>
          <w:tab w:leader="none" w:pos="123"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Loans subject to normal monitoring involve borrowers of acceptable-to-strong credit quality and risk, who have the apparent ability to satisfy their loan obligations.</w:t>
      </w:r>
    </w:p>
    <w:p>
      <w:pPr>
        <w:ind w:left="120" w:hanging="94"/>
        <w:spacing w:after="0" w:line="233" w:lineRule="auto"/>
        <w:tabs>
          <w:tab w:leader="none" w:pos="1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Loans subject to special monitoring possess some credit deficiency or potential weakness which requires a high level of management attention.</w:t>
      </w: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 modifications to borrowers experiencing financial difficulty may be in the form of principal forgiveness, an interest rate reduction, an other-than-insignificant payment delay, a term extension, or a combination thereof, among other things. There were no loans modified during the three months ended March 31, 2026. There were two loans modified during the three months ended March 31, 2025. Both loans modified during the three months ended March 31, 2025 were due to term extensions coupled with an interest rate increase.</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modified loans that had a payment default during the three months ended March 31, 2026 that had been modified due to the borrower experiencing financial difficulty within the 12 previous months preceding the default.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2026, the Company had no commitments to lend additional funds to borrowers experiencing financial difficulty for which the Company modified the terms of the loans in the form of principal forgiveness, an interest rate reduction, an other-than-insignificant payment delay, or a term extension during the current period.</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the Company's determination that a modified loan has subsequently been deemed uncollectible, the loan is written off. There were no loans written off during the three months ended March 31, 2026.</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2026, the Company had two non-accrual loans totaling $3.1 million that had an allowance for credit losses specifically allocated to them of $101,000 based on an evaluation of expected credit losses. There were three non-accrual</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loans at December 31, 2025 totaling $7.0 million. The Company did not record any interest income on non-accrual loans during the three months ended March 31, 2026 or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foreclosed loans recorded as other real estate owned as of March 31, 2026 or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in the allowance for credit losses (“ACL”) by category for the three months ended March 31, 2026 and year-ended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is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720" w:type="dxa"/>
            <w:vAlign w:val="bottom"/>
          </w:tcPr>
          <w:p>
            <w:pPr>
              <w:spacing w:after="0"/>
              <w:rPr>
                <w:sz w:val="17"/>
                <w:szCs w:val="17"/>
                <w:color w:val="auto"/>
              </w:rPr>
            </w:pPr>
          </w:p>
        </w:tc>
        <w:tc>
          <w:tcPr>
            <w:tcW w:w="9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C&amp;I</w:t>
            </w:r>
          </w:p>
        </w:tc>
        <w:tc>
          <w:tcPr>
            <w:tcW w:w="360" w:type="dxa"/>
            <w:vAlign w:val="bottom"/>
          </w:tcPr>
          <w:p>
            <w:pPr>
              <w:spacing w:after="0"/>
              <w:rPr>
                <w:sz w:val="17"/>
                <w:szCs w:val="17"/>
                <w:color w:val="auto"/>
              </w:rPr>
            </w:pPr>
          </w:p>
        </w:tc>
        <w:tc>
          <w:tcPr>
            <w:tcW w:w="11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CRE</w:t>
            </w:r>
          </w:p>
        </w:tc>
        <w:tc>
          <w:tcPr>
            <w:tcW w:w="200" w:type="dxa"/>
            <w:vAlign w:val="bottom"/>
          </w:tcPr>
          <w:p>
            <w:pPr>
              <w:spacing w:after="0"/>
              <w:rPr>
                <w:sz w:val="17"/>
                <w:szCs w:val="17"/>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Faith-based</w:t>
            </w:r>
          </w:p>
        </w:tc>
        <w:tc>
          <w:tcPr>
            <w:tcW w:w="220" w:type="dxa"/>
            <w:vAlign w:val="bottom"/>
          </w:tcPr>
          <w:p>
            <w:pPr>
              <w:spacing w:after="0"/>
              <w:rPr>
                <w:sz w:val="17"/>
                <w:szCs w:val="17"/>
                <w:color w:val="auto"/>
              </w:rPr>
            </w:pPr>
          </w:p>
        </w:tc>
        <w:tc>
          <w:tcPr>
            <w:tcW w:w="13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380" w:type="dxa"/>
            <w:vAlign w:val="bottom"/>
          </w:tcPr>
          <w:p>
            <w:pPr>
              <w:spacing w:after="0"/>
              <w:rPr>
                <w:sz w:val="17"/>
                <w:szCs w:val="17"/>
                <w:color w:val="auto"/>
              </w:rPr>
            </w:pPr>
          </w:p>
        </w:tc>
        <w:tc>
          <w:tcPr>
            <w:tcW w:w="10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3580" w:type="dxa"/>
            <w:vAlign w:val="bottom"/>
            <w:tcBorders>
              <w:bottom w:val="single" w:sz="8" w:color="auto"/>
            </w:tcBorders>
            <w:vMerge w:val="continue"/>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CRE</w:t>
            </w: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72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5,897</w:t>
            </w:r>
          </w:p>
        </w:tc>
        <w:tc>
          <w:tcPr>
            <w:tcW w:w="36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1,023</w:t>
            </w:r>
          </w:p>
        </w:tc>
        <w:tc>
          <w:tcPr>
            <w:tcW w:w="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6,258</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8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13,395</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Provision for (release of) credit losses</w:t>
            </w:r>
          </w:p>
        </w:tc>
        <w:tc>
          <w:tcPr>
            <w:tcW w:w="7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72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5,833</w:t>
            </w:r>
          </w:p>
        </w:tc>
        <w:tc>
          <w:tcPr>
            <w:tcW w:w="36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889</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6,546</w:t>
            </w:r>
          </w:p>
        </w:tc>
        <w:tc>
          <w:tcPr>
            <w:tcW w:w="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38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13,597</w:t>
            </w:r>
          </w:p>
        </w:tc>
        <w:tc>
          <w:tcPr>
            <w:tcW w:w="0" w:type="dxa"/>
            <w:vAlign w:val="bottom"/>
          </w:tcPr>
          <w:p>
            <w:pPr>
              <w:spacing w:after="0"/>
              <w:rPr>
                <w:sz w:val="1"/>
                <w:szCs w:val="1"/>
                <w:color w:val="auto"/>
              </w:rPr>
            </w:pPr>
          </w:p>
        </w:tc>
      </w:tr>
      <w:tr>
        <w:trPr>
          <w:trHeight w:val="256"/>
        </w:trPr>
        <w:tc>
          <w:tcPr>
            <w:tcW w:w="3580" w:type="dxa"/>
            <w:vAlign w:val="bottom"/>
            <w:tcBorders>
              <w:bottom w:val="single" w:sz="8" w:color="auto"/>
            </w:tcBorders>
          </w:tcPr>
          <w:p>
            <w:pPr>
              <w:ind w:left="200"/>
              <w:spacing w:after="0" w:line="256" w:lineRule="exact"/>
              <w:rPr>
                <w:sz w:val="20"/>
                <w:szCs w:val="20"/>
                <w:color w:val="auto"/>
              </w:rPr>
            </w:pPr>
            <w:r>
              <w:rPr>
                <w:rFonts w:ascii="Times New Roman" w:cs="Times New Roman" w:eastAsia="Times New Roman" w:hAnsi="Times New Roman"/>
                <w:sz w:val="18"/>
                <w:szCs w:val="18"/>
                <w:color w:val="auto"/>
              </w:rPr>
              <w:t xml:space="preserve">Provision for (release of) credit losses </w:t>
            </w:r>
            <w:r>
              <w:rPr>
                <w:rFonts w:ascii="Times New Roman" w:cs="Times New Roman" w:eastAsia="Times New Roman" w:hAnsi="Times New Roman"/>
                <w:sz w:val="23"/>
                <w:szCs w:val="23"/>
                <w:color w:val="auto"/>
                <w:vertAlign w:val="superscript"/>
              </w:rPr>
              <w:t>(1)</w:t>
            </w:r>
          </w:p>
        </w:tc>
        <w:tc>
          <w:tcPr>
            <w:tcW w:w="7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44"/>
        </w:trPr>
        <w:tc>
          <w:tcPr>
            <w:tcW w:w="358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Balance at March 31, 2026</w:t>
            </w:r>
          </w:p>
        </w:tc>
        <w:tc>
          <w:tcPr>
            <w:tcW w:w="72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6,127</w:t>
            </w:r>
          </w:p>
        </w:tc>
        <w:tc>
          <w:tcPr>
            <w:tcW w:w="36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842</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6,513</w:t>
            </w:r>
          </w:p>
        </w:tc>
        <w:tc>
          <w:tcPr>
            <w:tcW w:w="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38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13,861</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980" w:hanging="95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2026, there was a release of credit losses of $203,000 for unfunded commitments.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is party to activities that contain credit, market and operational risks that are not reflected in whole or in part in the Company’s consolidated financial statements. As more fully described in the Form 10-K, such activities include traditional off-balance sheet credit-related financial instruments.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Commitments to extend credit and letters of credit are subject to the same underwriting standards as those financial instruments included on the consolidated balance sheets. An allowance for unfunded commitments of $216,000 and $419,000 had been recorded at March 31, 2026 and December 31, 2025, respectively.</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2026, the balances of unfunded commitments, standby and commercial letters of credit were $136.8 million, $11.7 million, and $1.2 million, respectively. Since some of the financial instruments may expire without being drawn upon, the total amounts do not necessarily represent future cash requirements.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Share-Based Compensation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16, 2023, the Board of Directors adopted the 2023 Omnibus Stock and Performance Compensation Plan (the "2023 Omnibus Plan"), which was approved by the Company's shareholders on April 18, 2023. The 2023 Omnibus Plan permits the issuance of up to 1.0 million shares of the Company’s common stock in the form of stock options, SARs, restricted stock, restricted stock units, phantom stock, and performance awards. During the three months ended March 31, 2026, 33,583 time-based restricted shares and 45,557 performance-based restricted shares were granted under the 2023 Omnibus Plan. Share-based compensation expense was $1.4 million and $1.2 million for the three months ended March 31, 2026, and 2025,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shares granted to Company employees are amortized to expense over a three-year cliff vesting period, or until vesting occurs upon retirement. Restricted shares granted to members of the Board of Directors are amortized to expense over a one-year service period, with the exception of those shares granted in lieu of cash payments for retainer fees which are expensed in the period earned.</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total unrecognized compensation expense related to non-vested restricted shares was $2.1 million, and the related weighted-average period over which it is expected to be recognized is approximately 1.43 years.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Following is a summary of the activity of the Company's restricted stock for the three months ended March 31, 2026, with total shares and weighted-average fair value: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306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180" w:type="dxa"/>
            <w:vAlign w:val="bottom"/>
          </w:tcPr>
          <w:p>
            <w:pPr>
              <w:spacing w:after="0"/>
              <w:rPr>
                <w:sz w:val="21"/>
                <w:szCs w:val="21"/>
                <w:color w:val="auto"/>
              </w:rPr>
            </w:pPr>
          </w:p>
        </w:tc>
        <w:tc>
          <w:tcPr>
            <w:tcW w:w="306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50"/>
        </w:trPr>
        <w:tc>
          <w:tcPr>
            <w:tcW w:w="8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6"/>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5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273,543</w:t>
            </w:r>
          </w:p>
        </w:tc>
        <w:tc>
          <w:tcPr>
            <w:tcW w:w="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42.88</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33,583</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(31,348)</w:t>
            </w:r>
          </w:p>
        </w:tc>
        <w:tc>
          <w:tcPr>
            <w:tcW w:w="28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48.89</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44.29</w:t>
            </w:r>
          </w:p>
        </w:tc>
      </w:tr>
      <w:tr>
        <w:trPr>
          <w:trHeight w:val="250"/>
        </w:trPr>
        <w:tc>
          <w:tcPr>
            <w:tcW w:w="81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15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275,422</w:t>
            </w:r>
          </w:p>
        </w:tc>
        <w:tc>
          <w:tcPr>
            <w:tcW w:w="2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42.28</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granted three-year performance-based restricted stock (“PBRS”) awards which are contingent upon the Company’s achievement of pre-established financial goals over a three-year cliff vesting period. The number of shares issued ranges from 0% to 150% of the target opportunity based on the actual achievement of financial goals for the three-year performance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the activity of the PBRS for the three months ended March 31, 2026, based on 100% of target value: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306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180" w:type="dxa"/>
            <w:vAlign w:val="bottom"/>
          </w:tcPr>
          <w:p>
            <w:pPr>
              <w:spacing w:after="0"/>
              <w:rPr>
                <w:sz w:val="21"/>
                <w:szCs w:val="21"/>
                <w:color w:val="auto"/>
              </w:rPr>
            </w:pPr>
          </w:p>
        </w:tc>
        <w:tc>
          <w:tcPr>
            <w:tcW w:w="306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50"/>
        </w:trPr>
        <w:tc>
          <w:tcPr>
            <w:tcW w:w="8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7"/>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5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151,780</w:t>
            </w:r>
          </w:p>
        </w:tc>
        <w:tc>
          <w:tcPr>
            <w:tcW w:w="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44.52</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45,557</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(45,864)</w:t>
            </w:r>
          </w:p>
        </w:tc>
        <w:tc>
          <w:tcPr>
            <w:tcW w:w="28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48.89</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w:t>
            </w:r>
          </w:p>
        </w:tc>
      </w:tr>
      <w:tr>
        <w:trPr>
          <w:trHeight w:val="250"/>
        </w:trPr>
        <w:tc>
          <w:tcPr>
            <w:tcW w:w="81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15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149,622</w:t>
            </w:r>
          </w:p>
        </w:tc>
        <w:tc>
          <w:tcPr>
            <w:tcW w:w="2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42.92</w:t>
            </w: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PBRS that vested during the three months ended March 31, 2026 were based on the Company's achievement of 61.9% of target financial goals for the 2023-2025 performance period, resulting in the issuance of 28,389 shares of common stock. The outstanding PBRS at March 31, 2026 will vest at scheduled vesting dates and the actual number of shares of common stock issued will range from 0% to 150% of the target opportunity based on the actual achievement of financial goals for the respective three-year performance period.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Employee Benefit Plans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an unfunded supplemental executive retirement plan (the "SERP"). There are no current employees earning benefits and therefore, there is no service cost associated with the SERP. The following table represents the components of the net periodic cost for the SERP:</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0" w:type="dxa"/>
            <w:vAlign w:val="bottom"/>
          </w:tcPr>
          <w:p>
            <w:pPr>
              <w:spacing w:after="0"/>
              <w:rPr>
                <w:sz w:val="1"/>
                <w:szCs w:val="1"/>
                <w:color w:val="auto"/>
              </w:rPr>
            </w:pPr>
          </w:p>
        </w:tc>
      </w:tr>
      <w:tr>
        <w:trPr>
          <w:trHeight w:val="241"/>
        </w:trPr>
        <w:tc>
          <w:tcPr>
            <w:tcW w:w="5680" w:type="dxa"/>
            <w:vAlign w:val="bottom"/>
            <w:tcBorders>
              <w:bottom w:val="single" w:sz="8" w:color="auto"/>
            </w:tcBorders>
            <w:vMerge w:val="continue"/>
          </w:tcPr>
          <w:p>
            <w:pPr>
              <w:spacing w:after="0"/>
              <w:rPr>
                <w:sz w:val="20"/>
                <w:szCs w:val="20"/>
                <w:color w:val="auto"/>
              </w:rPr>
            </w:pPr>
          </w:p>
        </w:tc>
        <w:tc>
          <w:tcPr>
            <w:tcW w:w="3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52"/>
        </w:trPr>
        <w:tc>
          <w:tcPr>
            <w:tcW w:w="5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3640" w:type="dxa"/>
            <w:vAlign w:val="bottom"/>
            <w:shd w:val="clear" w:color="auto" w:fill="B6B6B6"/>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w w:val="88"/>
              </w:rPr>
              <w:t>433</w:t>
            </w:r>
          </w:p>
        </w:tc>
        <w:tc>
          <w:tcPr>
            <w:tcW w:w="38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B6B6"/>
          </w:tcPr>
          <w:p>
            <w:pPr>
              <w:ind w:left="840"/>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50"/>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amortization</w:t>
            </w:r>
          </w:p>
        </w:tc>
        <w:tc>
          <w:tcPr>
            <w:tcW w:w="36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50"/>
        </w:trPr>
        <w:tc>
          <w:tcPr>
            <w:tcW w:w="568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3640" w:type="dxa"/>
            <w:vAlign w:val="bottom"/>
            <w:tcBorders>
              <w:bottom w:val="single" w:sz="8" w:color="auto"/>
            </w:tcBorders>
            <w:shd w:val="clear" w:color="auto" w:fill="B6B6B6"/>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w w:val="88"/>
              </w:rPr>
              <w:t>433</w:t>
            </w:r>
          </w:p>
        </w:tc>
        <w:tc>
          <w:tcPr>
            <w:tcW w:w="38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B6B6B6"/>
          </w:tcPr>
          <w:p>
            <w:pPr>
              <w:ind w:left="84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060"/>
        <w:spacing w:after="0" w:line="453" w:lineRule="auto"/>
        <w:rPr>
          <w:sz w:val="20"/>
          <w:szCs w:val="20"/>
          <w:color w:val="auto"/>
        </w:rPr>
      </w:pPr>
      <w:r>
        <w:rPr>
          <w:rFonts w:ascii="Times New Roman" w:cs="Times New Roman" w:eastAsia="Times New Roman" w:hAnsi="Times New Roman"/>
          <w:sz w:val="18"/>
          <w:szCs w:val="18"/>
          <w:color w:val="auto"/>
        </w:rPr>
        <w:t xml:space="preserve">SERP cost recorded to expense was $108,000 and $113,000 for the three months ended March 31, 2026 and 2025, respectively. </w:t>
      </w:r>
      <w:r>
        <w:rPr>
          <w:rFonts w:ascii="Times New Roman" w:cs="Times New Roman" w:eastAsia="Times New Roman" w:hAnsi="Times New Roman"/>
          <w:sz w:val="18"/>
          <w:szCs w:val="18"/>
          <w:b w:val="1"/>
          <w:bCs w:val="1"/>
          <w:color w:val="auto"/>
        </w:rPr>
        <w:t>Note 11 – Income Taxes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for continuing operations was 19.7% and 21.4% three months ended March 31, 2026 and 2025, respectively. The effective tax rate can differ from the statutory rate of 21% primarily due to the impact of state income taxes, tax-exempt interest received from municipal bonds, bank-owned life insurance income, and other factors.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Investment Securities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 securities available-for-sale are recorded at fair value on a recurring basis. The Company’s investment securities available-for-sale are measured at fair value using Level 2 inputs including observable trade data, market data, etc. The market evaluation utilizes several sources which include “observable inputs” rather than “significant unobservable inputs” and therefore fall into the Level 2 category. The amortized cost, gross unrealized gains, gross unrealized losses and fair value of investment securities are summarized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300" w:type="dxa"/>
            <w:vAlign w:val="bottom"/>
          </w:tcPr>
          <w:p>
            <w:pPr>
              <w:spacing w:after="0"/>
              <w:rPr>
                <w:sz w:val="15"/>
                <w:szCs w:val="15"/>
                <w:color w:val="auto"/>
              </w:rPr>
            </w:pPr>
          </w:p>
        </w:tc>
        <w:tc>
          <w:tcPr>
            <w:tcW w:w="128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00" w:type="dxa"/>
            <w:vAlign w:val="bottom"/>
          </w:tcPr>
          <w:p>
            <w:pPr>
              <w:spacing w:after="0"/>
              <w:rPr>
                <w:sz w:val="15"/>
                <w:szCs w:val="15"/>
                <w:color w:val="auto"/>
              </w:rPr>
            </w:pPr>
          </w:p>
        </w:tc>
        <w:tc>
          <w:tcPr>
            <w:tcW w:w="130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80" w:type="dxa"/>
            <w:vAlign w:val="bottom"/>
          </w:tcPr>
          <w:p>
            <w:pPr>
              <w:spacing w:after="0"/>
              <w:rPr>
                <w:sz w:val="15"/>
                <w:szCs w:val="15"/>
                <w:color w:val="auto"/>
              </w:rPr>
            </w:pPr>
          </w:p>
        </w:tc>
        <w:tc>
          <w:tcPr>
            <w:tcW w:w="126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176"/>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00" w:type="dxa"/>
            <w:vAlign w:val="bottom"/>
          </w:tcPr>
          <w:p>
            <w:pPr>
              <w:spacing w:after="0"/>
              <w:rPr>
                <w:sz w:val="15"/>
                <w:szCs w:val="15"/>
                <w:color w:val="auto"/>
              </w:rPr>
            </w:pPr>
          </w:p>
        </w:tc>
        <w:tc>
          <w:tcPr>
            <w:tcW w:w="130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50"/>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236,398</w:t>
            </w:r>
          </w:p>
        </w:tc>
        <w:tc>
          <w:tcPr>
            <w:tcW w:w="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1,906</w:t>
            </w:r>
          </w:p>
        </w:tc>
        <w:tc>
          <w:tcPr>
            <w:tcW w:w="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226,714</w:t>
            </w:r>
          </w:p>
        </w:tc>
        <w:tc>
          <w:tcPr>
            <w:tcW w:w="0" w:type="dxa"/>
            <w:vAlign w:val="bottom"/>
          </w:tcPr>
          <w:p>
            <w:pPr>
              <w:spacing w:after="0"/>
              <w:rPr>
                <w:sz w:val="1"/>
                <w:szCs w:val="1"/>
                <w:color w:val="auto"/>
              </w:rPr>
            </w:pPr>
          </w:p>
        </w:tc>
      </w:tr>
      <w:tr>
        <w:trPr>
          <w:trHeight w:val="21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 guaranteed by U.S.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agencies or sponsored enterprises</w:t>
            </w:r>
          </w:p>
        </w:tc>
        <w:tc>
          <w:tcPr>
            <w:tcW w:w="2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535,493</w:t>
            </w:r>
          </w:p>
        </w:tc>
        <w:tc>
          <w:tcPr>
            <w:tcW w:w="3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1,041</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(28,550)</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507,984</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30,831</w:t>
            </w:r>
          </w:p>
        </w:tc>
        <w:tc>
          <w:tcPr>
            <w:tcW w:w="30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28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28,651</w:t>
            </w:r>
          </w:p>
        </w:tc>
        <w:tc>
          <w:tcPr>
            <w:tcW w:w="0" w:type="dxa"/>
            <w:vAlign w:val="bottom"/>
          </w:tcPr>
          <w:p>
            <w:pPr>
              <w:spacing w:after="0"/>
              <w:rPr>
                <w:sz w:val="1"/>
                <w:szCs w:val="1"/>
                <w:color w:val="auto"/>
              </w:rPr>
            </w:pPr>
          </w:p>
        </w:tc>
      </w:tr>
      <w:tr>
        <w:trPr>
          <w:trHeight w:val="21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 guaranteed by U.S. government</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agencies or sponsored enterprises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22,314</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21,994</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825,036</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2,947</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(42,640)</w:t>
            </w:r>
          </w:p>
        </w:tc>
        <w:tc>
          <w:tcPr>
            <w:tcW w:w="2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785,343</w:t>
            </w:r>
          </w:p>
        </w:tc>
        <w:tc>
          <w:tcPr>
            <w:tcW w:w="0" w:type="dxa"/>
            <w:vAlign w:val="bottom"/>
          </w:tcPr>
          <w:p>
            <w:pPr>
              <w:spacing w:after="0"/>
              <w:rPr>
                <w:sz w:val="1"/>
                <w:szCs w:val="1"/>
                <w:color w:val="auto"/>
              </w:rPr>
            </w:pPr>
          </w:p>
        </w:tc>
      </w:tr>
      <w:tr>
        <w:trPr>
          <w:trHeight w:val="547"/>
        </w:trPr>
        <w:tc>
          <w:tcPr>
            <w:tcW w:w="50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300" w:type="dxa"/>
            <w:vAlign w:val="bottom"/>
          </w:tcPr>
          <w:p>
            <w:pPr>
              <w:spacing w:after="0"/>
              <w:rPr>
                <w:sz w:val="15"/>
                <w:szCs w:val="15"/>
                <w:color w:val="auto"/>
              </w:rPr>
            </w:pPr>
          </w:p>
        </w:tc>
        <w:tc>
          <w:tcPr>
            <w:tcW w:w="128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00" w:type="dxa"/>
            <w:vAlign w:val="bottom"/>
          </w:tcPr>
          <w:p>
            <w:pPr>
              <w:spacing w:after="0"/>
              <w:rPr>
                <w:sz w:val="15"/>
                <w:szCs w:val="15"/>
                <w:color w:val="auto"/>
              </w:rPr>
            </w:pPr>
          </w:p>
        </w:tc>
        <w:tc>
          <w:tcPr>
            <w:tcW w:w="130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00" w:type="dxa"/>
            <w:vAlign w:val="bottom"/>
          </w:tcPr>
          <w:p>
            <w:pPr>
              <w:spacing w:after="0"/>
              <w:rPr>
                <w:sz w:val="15"/>
                <w:szCs w:val="15"/>
                <w:color w:val="auto"/>
              </w:rPr>
            </w:pPr>
          </w:p>
        </w:tc>
        <w:tc>
          <w:tcPr>
            <w:tcW w:w="130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80" w:type="dxa"/>
            <w:vAlign w:val="bottom"/>
          </w:tcPr>
          <w:p>
            <w:pPr>
              <w:spacing w:after="0"/>
              <w:rPr>
                <w:sz w:val="15"/>
                <w:szCs w:val="15"/>
                <w:color w:val="auto"/>
              </w:rPr>
            </w:pPr>
          </w:p>
        </w:tc>
        <w:tc>
          <w:tcPr>
            <w:tcW w:w="126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43"/>
        </w:trPr>
        <w:tc>
          <w:tcPr>
            <w:tcW w:w="502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247,716</w:t>
            </w:r>
          </w:p>
        </w:tc>
        <w:tc>
          <w:tcPr>
            <w:tcW w:w="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3,228</w:t>
            </w:r>
          </w:p>
        </w:tc>
        <w:tc>
          <w:tcPr>
            <w:tcW w:w="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240,211</w:t>
            </w:r>
          </w:p>
        </w:tc>
        <w:tc>
          <w:tcPr>
            <w:tcW w:w="0" w:type="dxa"/>
            <w:vAlign w:val="bottom"/>
          </w:tcPr>
          <w:p>
            <w:pPr>
              <w:spacing w:after="0"/>
              <w:rPr>
                <w:sz w:val="1"/>
                <w:szCs w:val="1"/>
                <w:color w:val="auto"/>
              </w:rPr>
            </w:pPr>
          </w:p>
        </w:tc>
      </w:tr>
      <w:tr>
        <w:trPr>
          <w:trHeight w:val="21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 guaranteed by U.S.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agencies or sponsored enterprises</w:t>
            </w:r>
          </w:p>
        </w:tc>
        <w:tc>
          <w:tcPr>
            <w:tcW w:w="2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503,599</w:t>
            </w:r>
          </w:p>
        </w:tc>
        <w:tc>
          <w:tcPr>
            <w:tcW w:w="3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2,144</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(27,047)</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478,696</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30,895</w:t>
            </w:r>
          </w:p>
        </w:tc>
        <w:tc>
          <w:tcPr>
            <w:tcW w:w="30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28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28,896</w:t>
            </w:r>
          </w:p>
        </w:tc>
        <w:tc>
          <w:tcPr>
            <w:tcW w:w="0" w:type="dxa"/>
            <w:vAlign w:val="bottom"/>
          </w:tcPr>
          <w:p>
            <w:pPr>
              <w:spacing w:after="0"/>
              <w:rPr>
                <w:sz w:val="1"/>
                <w:szCs w:val="1"/>
                <w:color w:val="auto"/>
              </w:rPr>
            </w:pPr>
          </w:p>
        </w:tc>
      </w:tr>
      <w:tr>
        <w:trPr>
          <w:trHeight w:val="21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 guaranteed by U.S. government</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agencies or sponsored enterprises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23,294</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22,969</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805,504</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5,372</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(40,104)</w:t>
            </w:r>
          </w:p>
        </w:tc>
        <w:tc>
          <w:tcPr>
            <w:tcW w:w="2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770,772</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investment securities with unrealized losses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jc w:val="right"/>
              <w:ind w:right="190"/>
              <w:spacing w:after="0" w:line="180"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40" w:type="dxa"/>
            <w:vAlign w:val="bottom"/>
          </w:tcPr>
          <w:p>
            <w:pPr>
              <w:jc w:val="right"/>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5"/>
                <w:szCs w:val="15"/>
                <w:color w:val="auto"/>
              </w:rPr>
            </w:pPr>
          </w:p>
        </w:tc>
        <w:tc>
          <w:tcPr>
            <w:tcW w:w="1140" w:type="dxa"/>
            <w:vAlign w:val="bottom"/>
          </w:tcPr>
          <w:p>
            <w:pPr>
              <w:jc w:val="right"/>
              <w:ind w:right="190"/>
              <w:spacing w:after="0" w:line="180"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60" w:type="dxa"/>
            <w:vAlign w:val="bottom"/>
          </w:tcPr>
          <w:p>
            <w:pPr>
              <w:jc w:val="right"/>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5"/>
                <w:szCs w:val="15"/>
                <w:color w:val="auto"/>
              </w:rPr>
            </w:pPr>
          </w:p>
        </w:tc>
        <w:tc>
          <w:tcPr>
            <w:tcW w:w="1120" w:type="dxa"/>
            <w:vAlign w:val="bottom"/>
          </w:tcPr>
          <w:p>
            <w:pPr>
              <w:jc w:val="right"/>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80" w:type="dxa"/>
            <w:vAlign w:val="bottom"/>
          </w:tcPr>
          <w:p>
            <w:pPr>
              <w:spacing w:after="0"/>
              <w:rPr>
                <w:sz w:val="15"/>
                <w:szCs w:val="15"/>
                <w:color w:val="auto"/>
              </w:rPr>
            </w:pPr>
          </w:p>
        </w:tc>
        <w:tc>
          <w:tcPr>
            <w:tcW w:w="1100" w:type="dxa"/>
            <w:vAlign w:val="bottom"/>
          </w:tcPr>
          <w:p>
            <w:pPr>
              <w:jc w:val="right"/>
              <w:ind w:right="130"/>
              <w:spacing w:after="0" w:line="180"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238"/>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50"/>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14,601</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111,530</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11,496</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126,131</w:t>
            </w:r>
          </w:p>
        </w:tc>
        <w:tc>
          <w:tcPr>
            <w:tcW w:w="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0" w:type="dxa"/>
            <w:vAlign w:val="bottom"/>
          </w:tcPr>
          <w:p>
            <w:pPr>
              <w:spacing w:after="0"/>
              <w:rPr>
                <w:sz w:val="1"/>
                <w:szCs w:val="1"/>
                <w:color w:val="auto"/>
              </w:rPr>
            </w:pPr>
          </w:p>
        </w:tc>
      </w:tr>
      <w:tr>
        <w:trPr>
          <w:trHeight w:val="211"/>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234,203</w:t>
            </w:r>
          </w:p>
        </w:tc>
        <w:tc>
          <w:tcPr>
            <w:tcW w:w="2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2,990</w:t>
            </w:r>
          </w:p>
        </w:tc>
        <w:tc>
          <w:tcPr>
            <w:tcW w:w="2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143,021</w:t>
            </w:r>
          </w:p>
        </w:tc>
        <w:tc>
          <w:tcPr>
            <w:tcW w:w="2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25,560</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377,224</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28,550</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28,651</w:t>
            </w:r>
          </w:p>
        </w:tc>
        <w:tc>
          <w:tcPr>
            <w:tcW w:w="24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2,180</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28,651</w:t>
            </w:r>
          </w:p>
        </w:tc>
        <w:tc>
          <w:tcPr>
            <w:tcW w:w="28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0" w:type="dxa"/>
            <w:vAlign w:val="bottom"/>
          </w:tcPr>
          <w:p>
            <w:pPr>
              <w:spacing w:after="0"/>
              <w:rPr>
                <w:sz w:val="1"/>
                <w:szCs w:val="1"/>
                <w:color w:val="auto"/>
              </w:rPr>
            </w:pPr>
          </w:p>
        </w:tc>
      </w:tr>
      <w:tr>
        <w:trPr>
          <w:trHeight w:val="211"/>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21,994</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320</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21,994</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248,804</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3,084</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305,196</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39,556</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554,000</w:t>
            </w:r>
          </w:p>
        </w:tc>
        <w:tc>
          <w:tcPr>
            <w:tcW w:w="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42,640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jc w:val="right"/>
              <w:ind w:right="190"/>
              <w:spacing w:after="0" w:line="180"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40" w:type="dxa"/>
            <w:vAlign w:val="bottom"/>
          </w:tcPr>
          <w:p>
            <w:pPr>
              <w:jc w:val="right"/>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5"/>
                <w:szCs w:val="15"/>
                <w:color w:val="auto"/>
              </w:rPr>
            </w:pPr>
          </w:p>
        </w:tc>
        <w:tc>
          <w:tcPr>
            <w:tcW w:w="1140" w:type="dxa"/>
            <w:vAlign w:val="bottom"/>
          </w:tcPr>
          <w:p>
            <w:pPr>
              <w:jc w:val="right"/>
              <w:ind w:right="190"/>
              <w:spacing w:after="0" w:line="180"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60" w:type="dxa"/>
            <w:vAlign w:val="bottom"/>
          </w:tcPr>
          <w:p>
            <w:pPr>
              <w:jc w:val="right"/>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5"/>
                <w:szCs w:val="15"/>
                <w:color w:val="auto"/>
              </w:rPr>
            </w:pPr>
          </w:p>
        </w:tc>
        <w:tc>
          <w:tcPr>
            <w:tcW w:w="1120" w:type="dxa"/>
            <w:vAlign w:val="bottom"/>
          </w:tcPr>
          <w:p>
            <w:pPr>
              <w:jc w:val="right"/>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80" w:type="dxa"/>
            <w:vAlign w:val="bottom"/>
          </w:tcPr>
          <w:p>
            <w:pPr>
              <w:spacing w:after="0"/>
              <w:rPr>
                <w:sz w:val="15"/>
                <w:szCs w:val="15"/>
                <w:color w:val="auto"/>
              </w:rPr>
            </w:pPr>
          </w:p>
        </w:tc>
        <w:tc>
          <w:tcPr>
            <w:tcW w:w="1100" w:type="dxa"/>
            <w:vAlign w:val="bottom"/>
          </w:tcPr>
          <w:p>
            <w:pPr>
              <w:jc w:val="right"/>
              <w:ind w:right="130"/>
              <w:spacing w:after="0" w:line="180"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238"/>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50"/>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139,379</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10,733</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139,379</w:t>
            </w:r>
          </w:p>
        </w:tc>
        <w:tc>
          <w:tcPr>
            <w:tcW w:w="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0" w:type="dxa"/>
            <w:vAlign w:val="bottom"/>
          </w:tcPr>
          <w:p>
            <w:pPr>
              <w:spacing w:after="0"/>
              <w:rPr>
                <w:sz w:val="1"/>
                <w:szCs w:val="1"/>
                <w:color w:val="auto"/>
              </w:rPr>
            </w:pPr>
          </w:p>
        </w:tc>
      </w:tr>
      <w:tr>
        <w:trPr>
          <w:trHeight w:val="225"/>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148,111</w:t>
            </w:r>
          </w:p>
        </w:tc>
        <w:tc>
          <w:tcPr>
            <w:tcW w:w="2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1,733</w:t>
            </w:r>
          </w:p>
        </w:tc>
        <w:tc>
          <w:tcPr>
            <w:tcW w:w="2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155,353</w:t>
            </w:r>
          </w:p>
        </w:tc>
        <w:tc>
          <w:tcPr>
            <w:tcW w:w="2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25,314</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303,464</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27,047</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28,896</w:t>
            </w:r>
          </w:p>
        </w:tc>
        <w:tc>
          <w:tcPr>
            <w:tcW w:w="24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1,999</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28,896</w:t>
            </w:r>
          </w:p>
        </w:tc>
        <w:tc>
          <w:tcPr>
            <w:tcW w:w="28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0" w:type="dxa"/>
            <w:vAlign w:val="bottom"/>
          </w:tcPr>
          <w:p>
            <w:pPr>
              <w:spacing w:after="0"/>
              <w:rPr>
                <w:sz w:val="1"/>
                <w:szCs w:val="1"/>
                <w:color w:val="auto"/>
              </w:rPr>
            </w:pPr>
          </w:p>
        </w:tc>
      </w:tr>
      <w:tr>
        <w:trPr>
          <w:trHeight w:val="225"/>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22,969</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22,969</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148,111</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1,733</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346,597</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38,371</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494,708</w:t>
            </w:r>
          </w:p>
        </w:tc>
        <w:tc>
          <w:tcPr>
            <w:tcW w:w="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40,104</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were 213 investment securities, or 70.1% (155 of which for greater than 12 months), in an unrealized loss position as of March 31, 2026. The unrealized losses at March 31, 2026 were primarily attributable to changes in market interest rates after the investment securities were purchased. The Company does not currently intend to sell, and based on current conditions, the Company does not believe it will be required to sell these available-for-sale investment securities before the recovery of the amortized cost basis, which may be the maturity dates of the investment securities. Therefore, the unrealized losses are recorded in accumulated other comprehensive loss. There were 204 investment securities, or 67.3% (177 of which for greater than 12 months), in an unrealized loss position as of December 31, 2025. At March 31, 2026 and December 31, 2025, the Company had not recorded an allowance for credit losses on investment securities.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investment securities by contractual maturity are shown in the following table. Expected maturities may differ from contractual maturities because borrowers have the right to prepay obligations with or without prepayment penalties.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6"/>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Due in 1 year or less</w:t>
            </w:r>
          </w:p>
        </w:tc>
        <w:tc>
          <w:tcPr>
            <w:tcW w:w="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9,459</w:t>
            </w:r>
          </w:p>
        </w:tc>
        <w:tc>
          <w:tcPr>
            <w:tcW w:w="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9,381</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1 year through 5 years</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65,969</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63,384</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Due after 5 years through 10 years</w:t>
            </w:r>
          </w:p>
        </w:tc>
        <w:tc>
          <w:tcPr>
            <w:tcW w:w="12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156,113</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144,020</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Due after 10 years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593,495</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568,558</w:t>
            </w:r>
          </w:p>
        </w:tc>
      </w:tr>
      <w:tr>
        <w:trPr>
          <w:trHeight w:val="250"/>
        </w:trPr>
        <w:tc>
          <w:tcPr>
            <w:tcW w:w="818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825,036</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785,343</w:t>
            </w: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Proceeds from sales of investment securities classified as available-for-sale were $3.5 million and $23.0 million for the three months ended March 31, 2026 and 2025, respectively. Gross realized losses were $57,000 and $18,000 for the three months ended March 31, 2026 and 2025, respectively. There were $62,000 and $0 gross realized gains for the three months ended March 31, 2026 and 2025, respectively. There were no investment securities pledged to secure public deposits at March 31, 2026. The Company pledged municipal securities to secure its $145.0 million of short-term borrowings at March 31, 2026.</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Short-term borrowings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lines of credit from three third party financial institutions up to a maximum of $225.0 million in aggregate collateralized by state and political subdivision securities. As of March 31, 2026, total outstanding borrowings under these facilities were $145.0 million. As such, the Company had future availability of $80.0 million at March 31, 2026.</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lines of credit mature on various dates from April 30, 2026 to November 27, 2026. The line of credit maturing on April 30, 2006 renewed at the same terms until April 30, 2027. The lines of credit bear interest at variable rates from a range of</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Wall Street Journal ("WSJ") prime rate minus 0.50% to the WSJ prime rate minus 2.40%. All of the lines of credit include a commitment fee of 0.10% per annum.</w:t>
      </w:r>
    </w:p>
    <w:p>
      <w:pPr>
        <w:spacing w:after="0" w:line="9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During the three months ended March 31, 2026, the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interest rate on outstanding short-term borrowings was 5.88%.</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Availability under the lines of credit is subject to customary borrowing base provisions, financial covenants, and other terms as defined in the respective agreements. As of March 31, 2026, the Company was in compliance with all such covenants.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Fair Value of Financial Instruments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the carrying amounts and fair values of the Company’s financial instruments: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76"/>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15"/>
                <w:szCs w:val="15"/>
                <w:color w:val="auto"/>
              </w:rPr>
            </w:pPr>
          </w:p>
        </w:tc>
        <w:tc>
          <w:tcPr>
            <w:tcW w:w="1240" w:type="dxa"/>
            <w:vAlign w:val="bottom"/>
          </w:tcPr>
          <w:p>
            <w:pPr>
              <w:jc w:val="right"/>
              <w:ind w:right="31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300" w:type="dxa"/>
            <w:vAlign w:val="bottom"/>
          </w:tcPr>
          <w:p>
            <w:pPr>
              <w:spacing w:after="0"/>
              <w:rPr>
                <w:sz w:val="15"/>
                <w:szCs w:val="15"/>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15"/>
                <w:szCs w:val="15"/>
                <w:color w:val="auto"/>
              </w:rPr>
            </w:pPr>
          </w:p>
        </w:tc>
        <w:tc>
          <w:tcPr>
            <w:tcW w:w="1260" w:type="dxa"/>
            <w:vAlign w:val="bottom"/>
          </w:tcPr>
          <w:p>
            <w:pPr>
              <w:jc w:val="right"/>
              <w:ind w:right="31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300" w:type="dxa"/>
            <w:vAlign w:val="bottom"/>
          </w:tcPr>
          <w:p>
            <w:pPr>
              <w:spacing w:after="0"/>
              <w:rPr>
                <w:sz w:val="15"/>
                <w:szCs w:val="15"/>
                <w:color w:val="auto"/>
              </w:rPr>
            </w:pPr>
          </w:p>
        </w:tc>
        <w:tc>
          <w:tcPr>
            <w:tcW w:w="12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1"/>
        </w:trPr>
        <w:tc>
          <w:tcPr>
            <w:tcW w:w="50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sheet assets:</w:t>
            </w:r>
          </w:p>
        </w:tc>
        <w:tc>
          <w:tcPr>
            <w:tcW w:w="260" w:type="dxa"/>
            <w:vAlign w:val="bottom"/>
            <w:shd w:val="clear" w:color="auto" w:fill="B6B6B6"/>
          </w:tcPr>
          <w:p>
            <w:pPr>
              <w:spacing w:after="0"/>
              <w:rPr>
                <w:sz w:val="21"/>
                <w:szCs w:val="21"/>
                <w:color w:val="auto"/>
              </w:rPr>
            </w:pPr>
          </w:p>
        </w:tc>
        <w:tc>
          <w:tcPr>
            <w:tcW w:w="1240" w:type="dxa"/>
            <w:vAlign w:val="bottom"/>
            <w:shd w:val="clear" w:color="auto" w:fill="B6B6B6"/>
          </w:tcPr>
          <w:p>
            <w:pPr>
              <w:spacing w:after="0"/>
              <w:rPr>
                <w:sz w:val="21"/>
                <w:szCs w:val="21"/>
                <w:color w:val="auto"/>
              </w:rPr>
            </w:pPr>
          </w:p>
        </w:tc>
        <w:tc>
          <w:tcPr>
            <w:tcW w:w="30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30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244,343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244,343</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392,268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392,268</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Investment securities</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785,343</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785,343</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770,772</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770,772</w:t>
            </w: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net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1,074,869</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1,073,690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1,047,620</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1,044,045</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60" w:type="dxa"/>
            <w:vAlign w:val="bottom"/>
            <w:tcBorders>
              <w:bottom w:val="single" w:sz="8" w:color="auto"/>
            </w:tcBorders>
            <w:shd w:val="clear" w:color="auto" w:fill="B6B6B6"/>
          </w:tcPr>
          <w:p>
            <w:pPr>
              <w:spacing w:after="0"/>
              <w:rPr>
                <w:sz w:val="22"/>
                <w:szCs w:val="22"/>
                <w:color w:val="auto"/>
              </w:rPr>
            </w:pPr>
          </w:p>
        </w:tc>
        <w:tc>
          <w:tcPr>
            <w:tcW w:w="12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7,475</w:t>
            </w:r>
          </w:p>
        </w:tc>
        <w:tc>
          <w:tcPr>
            <w:tcW w:w="30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100" w:type="dxa"/>
            <w:vAlign w:val="bottom"/>
            <w:tcBorders>
              <w:bottom w:val="single" w:sz="8" w:color="auto"/>
            </w:tcBorders>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9,170</w:t>
            </w:r>
          </w:p>
        </w:tc>
        <w:tc>
          <w:tcPr>
            <w:tcW w:w="30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9,170</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2,112,030</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2,110,851</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2,219,830</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2,216,255</w:t>
            </w:r>
          </w:p>
        </w:tc>
        <w:tc>
          <w:tcPr>
            <w:tcW w:w="0" w:type="dxa"/>
            <w:vAlign w:val="bottom"/>
          </w:tcPr>
          <w:p>
            <w:pPr>
              <w:spacing w:after="0"/>
              <w:rPr>
                <w:sz w:val="1"/>
                <w:szCs w:val="1"/>
                <w:color w:val="auto"/>
              </w:rPr>
            </w:pPr>
          </w:p>
        </w:tc>
      </w:tr>
      <w:tr>
        <w:trPr>
          <w:trHeight w:val="256"/>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sheet liabilities:</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1,105,683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1,105,683</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1,200,033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1,200,033</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1,000,154</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1,000,154</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1,124,858</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1,124,858</w:t>
            </w: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borrowings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145,000</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60" w:type="dxa"/>
            <w:vAlign w:val="bottom"/>
            <w:tcBorders>
              <w:bottom w:val="single" w:sz="8" w:color="auto"/>
            </w:tcBorders>
            <w:shd w:val="clear" w:color="auto" w:fill="B6B6B6"/>
          </w:tcPr>
          <w:p>
            <w:pPr>
              <w:spacing w:after="0"/>
              <w:rPr>
                <w:sz w:val="22"/>
                <w:szCs w:val="22"/>
                <w:color w:val="auto"/>
              </w:rPr>
            </w:pPr>
          </w:p>
        </w:tc>
        <w:tc>
          <w:tcPr>
            <w:tcW w:w="12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431</w:t>
            </w:r>
          </w:p>
        </w:tc>
        <w:tc>
          <w:tcPr>
            <w:tcW w:w="30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auto"/>
            </w:tcBorders>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606</w:t>
            </w:r>
          </w:p>
        </w:tc>
        <w:tc>
          <w:tcPr>
            <w:tcW w:w="30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43"/>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2,251,268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2,251,268</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2,325,497</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2,325,497</w:t>
            </w: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instruments for which it is practicable to estimate that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The carrying amount approximates fair value.</w:t>
      </w:r>
    </w:p>
    <w:p>
      <w:pPr>
        <w:spacing w:after="0" w:line="19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Investment Securities </w:t>
      </w:r>
      <w:r>
        <w:rPr>
          <w:rFonts w:ascii="Times New Roman" w:cs="Times New Roman" w:eastAsia="Times New Roman" w:hAnsi="Times New Roman"/>
          <w:sz w:val="18"/>
          <w:szCs w:val="18"/>
          <w:color w:val="auto"/>
        </w:rPr>
        <w:t>- The fair value is measured on a recurring basis using Level 2 inputs including observable trade data, market data, etc. Refer to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 “Investment Securities,” for fair value and unrealized gains and losses by investment type.</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Loans </w:t>
      </w:r>
      <w:r>
        <w:rPr>
          <w:rFonts w:ascii="Times New Roman" w:cs="Times New Roman" w:eastAsia="Times New Roman" w:hAnsi="Times New Roman"/>
          <w:sz w:val="18"/>
          <w:szCs w:val="18"/>
          <w:color w:val="auto"/>
        </w:rPr>
        <w:t>- The fair value is estimated using present values of future cash flows discounted at risk-adjusted interest rates for each loan category designated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is therefore a Level 3 valuation. Management believes that the risk factor embedded in the interest rates along with the allowance for credit losses result in a fair valuation.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Accrued Interest Receivable </w:t>
      </w:r>
      <w:r>
        <w:rPr>
          <w:rFonts w:ascii="Times New Roman" w:cs="Times New Roman" w:eastAsia="Times New Roman" w:hAnsi="Times New Roman"/>
          <w:sz w:val="18"/>
          <w:szCs w:val="18"/>
          <w:color w:val="auto"/>
        </w:rPr>
        <w:t>- The carrying amount approximates fair value.</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Deposits </w:t>
      </w:r>
      <w:r>
        <w:rPr>
          <w:rFonts w:ascii="Times New Roman" w:cs="Times New Roman" w:eastAsia="Times New Roman" w:hAnsi="Times New Roman"/>
          <w:sz w:val="18"/>
          <w:szCs w:val="18"/>
          <w:color w:val="auto"/>
        </w:rPr>
        <w:t>- The fair value of demand deposits, savings deposits and certain money market deposits is the amount payable on demand at the reporting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Accounts and Drafts Payable </w:t>
      </w:r>
      <w:r>
        <w:rPr>
          <w:rFonts w:ascii="Times New Roman" w:cs="Times New Roman" w:eastAsia="Times New Roman" w:hAnsi="Times New Roman"/>
          <w:sz w:val="18"/>
          <w:szCs w:val="18"/>
          <w:color w:val="auto"/>
        </w:rPr>
        <w:t>- The carrying amount approximates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Accrued Interest Payable </w:t>
      </w:r>
      <w:r>
        <w:rPr>
          <w:rFonts w:ascii="Times New Roman" w:cs="Times New Roman" w:eastAsia="Times New Roman" w:hAnsi="Times New Roman"/>
          <w:sz w:val="18"/>
          <w:szCs w:val="18"/>
          <w:color w:val="auto"/>
        </w:rPr>
        <w:t>- The carrying amount approximates fair value.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Short-term borrowings - </w:t>
      </w:r>
      <w:r>
        <w:rPr>
          <w:rFonts w:ascii="Times New Roman" w:cs="Times New Roman" w:eastAsia="Times New Roman" w:hAnsi="Times New Roman"/>
          <w:sz w:val="18"/>
          <w:szCs w:val="18"/>
          <w:color w:val="auto"/>
        </w:rPr>
        <w:t>The carrying amount approximates fair value.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Revenue from Contracts with Customers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recognized as the obligation to the customer is satisfied. The Company’s revenue from contracts with clients is as follows: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Processing fees </w:t>
      </w:r>
      <w:r>
        <w:rPr>
          <w:rFonts w:ascii="Times New Roman" w:cs="Times New Roman" w:eastAsia="Times New Roman" w:hAnsi="Times New Roman"/>
          <w:sz w:val="18"/>
          <w:szCs w:val="18"/>
          <w:color w:val="auto"/>
        </w:rPr>
        <w:t>– The Company earns fees on a per-item or monthly basis for the invoice processing services rendered on behalf of customers. Per-item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are recognized at the point in time when the performance obligation is satisfied. Monthly fees are earned over the course of a month, representing the period over which the performance obligation is satisfied. The contracts have no significant variable consideration or financing components.</w:t>
      </w:r>
    </w:p>
    <w:p>
      <w:pPr>
        <w:spacing w:after="0" w:line="1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Financial fees </w:t>
      </w:r>
      <w:r>
        <w:rPr>
          <w:rFonts w:ascii="Times New Roman" w:cs="Times New Roman" w:eastAsia="Times New Roman" w:hAnsi="Times New Roman"/>
          <w:sz w:val="18"/>
          <w:szCs w:val="18"/>
          <w:color w:val="auto"/>
        </w:rPr>
        <w:t>– The Company earns fees on a transaction level basis for invoice payment services when making customer payments. Fees are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point in time when the payment transactions are made, which is when the performance obligation is satisfied. The contracts have no significant impact of variable consideration and no significant financing components.</w:t>
      </w:r>
    </w:p>
    <w:p>
      <w:pPr>
        <w:spacing w:after="0" w:line="1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Bank service fees </w:t>
      </w:r>
      <w:r>
        <w:rPr>
          <w:rFonts w:ascii="Times New Roman" w:cs="Times New Roman" w:eastAsia="Times New Roman" w:hAnsi="Times New Roman"/>
          <w:sz w:val="18"/>
          <w:szCs w:val="18"/>
          <w:color w:val="auto"/>
        </w:rPr>
        <w:t>– Revenue from service fees consists of service charges and fees on deposit accounts under depository agreements with customers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access to deposited funds. Service charges on deposit accounts are transaction-based fees that are recognized at the point in time when the performance obligation is satisfied. The contracts have no significant impact of variable consideration and no significant financing components.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non-interest income, segregated by revenue streams in-scope and out-of-scope for the periods ended March 31, 2026 and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w:t>
            </w:r>
          </w:p>
        </w:tc>
      </w:tr>
      <w:tr>
        <w:trPr>
          <w:trHeight w:val="245"/>
        </w:trPr>
        <w:tc>
          <w:tcPr>
            <w:tcW w:w="8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1140" w:type="dxa"/>
            <w:vAlign w:val="bottom"/>
            <w:tcBorders>
              <w:bottom w:val="single" w:sz="8" w:color="auto"/>
            </w:tcBorders>
          </w:tcPr>
          <w:p>
            <w:pPr>
              <w:spacing w:after="0"/>
              <w:rPr>
                <w:sz w:val="21"/>
                <w:szCs w:val="21"/>
                <w:color w:val="auto"/>
              </w:rPr>
            </w:pP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7"/>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Fee revenue and other income</w:t>
            </w:r>
          </w:p>
        </w:tc>
        <w:tc>
          <w:tcPr>
            <w:tcW w:w="120" w:type="dxa"/>
            <w:vAlign w:val="bottom"/>
            <w:shd w:val="clear" w:color="auto" w:fill="B6B6B6"/>
          </w:tcPr>
          <w:p>
            <w:pPr>
              <w:spacing w:after="0"/>
              <w:rPr>
                <w:sz w:val="22"/>
                <w:szCs w:val="22"/>
                <w:color w:val="auto"/>
              </w:rPr>
            </w:pPr>
          </w:p>
        </w:tc>
        <w:tc>
          <w:tcPr>
            <w:tcW w:w="1300" w:type="dxa"/>
            <w:vAlign w:val="bottom"/>
            <w:shd w:val="clear" w:color="auto" w:fill="B6B6B6"/>
          </w:tcPr>
          <w:p>
            <w:pPr>
              <w:spacing w:after="0"/>
              <w:rPr>
                <w:sz w:val="22"/>
                <w:szCs w:val="22"/>
                <w:color w:val="auto"/>
              </w:rPr>
            </w:pPr>
          </w:p>
        </w:tc>
        <w:tc>
          <w:tcPr>
            <w:tcW w:w="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In-scope of FASB ASC 606</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81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Processing fees</w:t>
            </w:r>
          </w:p>
        </w:tc>
        <w:tc>
          <w:tcPr>
            <w:tcW w:w="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500" w:type="dxa"/>
            <w:vAlign w:val="bottom"/>
            <w:gridSpan w:val="3"/>
            <w:shd w:val="clear" w:color="auto" w:fill="B6B6B6"/>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16,469</w:t>
            </w:r>
          </w:p>
        </w:tc>
      </w:tr>
      <w:tr>
        <w:trPr>
          <w:trHeight w:val="250"/>
        </w:trPr>
        <w:tc>
          <w:tcPr>
            <w:tcW w:w="8180" w:type="dxa"/>
            <w:vAlign w:val="bottom"/>
            <w:tcBorders>
              <w:bottom w:val="single" w:sz="8" w:color="B6B6B6"/>
            </w:tcBorders>
          </w:tcPr>
          <w:p>
            <w:pPr>
              <w:ind w:left="380"/>
              <w:spacing w:after="0"/>
              <w:rPr>
                <w:sz w:val="20"/>
                <w:szCs w:val="20"/>
                <w:color w:val="auto"/>
              </w:rPr>
            </w:pPr>
            <w:r>
              <w:rPr>
                <w:rFonts w:ascii="Times New Roman" w:cs="Times New Roman" w:eastAsia="Times New Roman" w:hAnsi="Times New Roman"/>
                <w:sz w:val="18"/>
                <w:szCs w:val="18"/>
                <w:color w:val="auto"/>
              </w:rPr>
              <w:t>Financial fees</w:t>
            </w: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9,961</w:t>
            </w:r>
          </w:p>
        </w:tc>
      </w:tr>
      <w:tr>
        <w:trPr>
          <w:trHeight w:val="256"/>
        </w:trPr>
        <w:tc>
          <w:tcPr>
            <w:tcW w:w="81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Information services payment and processing revenue</w:t>
            </w:r>
          </w:p>
        </w:tc>
        <w:tc>
          <w:tcPr>
            <w:tcW w:w="12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26,159</w:t>
            </w:r>
          </w:p>
        </w:tc>
        <w:tc>
          <w:tcPr>
            <w:tcW w:w="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26,430</w:t>
            </w:r>
          </w:p>
        </w:tc>
      </w:tr>
      <w:tr>
        <w:trPr>
          <w:trHeight w:val="250"/>
        </w:trPr>
        <w:tc>
          <w:tcPr>
            <w:tcW w:w="8180" w:type="dxa"/>
            <w:vAlign w:val="bottom"/>
            <w:tcBorders>
              <w:bottom w:val="single" w:sz="8" w:color="B6B6B6"/>
            </w:tcBorders>
          </w:tcPr>
          <w:p>
            <w:pPr>
              <w:ind w:left="360"/>
              <w:spacing w:after="0"/>
              <w:rPr>
                <w:sz w:val="20"/>
                <w:szCs w:val="20"/>
                <w:color w:val="auto"/>
              </w:rPr>
            </w:pPr>
            <w:r>
              <w:rPr>
                <w:rFonts w:ascii="Times New Roman" w:cs="Times New Roman" w:eastAsia="Times New Roman" w:hAnsi="Times New Roman"/>
                <w:sz w:val="18"/>
                <w:szCs w:val="18"/>
                <w:color w:val="auto"/>
              </w:rPr>
              <w:t>Bank service fees</w:t>
            </w: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57"/>
        </w:trPr>
        <w:tc>
          <w:tcPr>
            <w:tcW w:w="81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Fee revenue (in-scope of FASB ASC 606)</w:t>
            </w:r>
          </w:p>
        </w:tc>
        <w:tc>
          <w:tcPr>
            <w:tcW w:w="12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26,531</w:t>
            </w:r>
          </w:p>
        </w:tc>
        <w:tc>
          <w:tcPr>
            <w:tcW w:w="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26,766</w:t>
            </w:r>
          </w:p>
        </w:tc>
      </w:tr>
      <w:tr>
        <w:trPr>
          <w:trHeight w:val="25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(out-of-scope of FASB ASC 606)</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57"/>
        </w:trPr>
        <w:tc>
          <w:tcPr>
            <w:tcW w:w="81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Gain (loss) on sale of investment securities</w:t>
            </w:r>
          </w:p>
        </w:tc>
        <w:tc>
          <w:tcPr>
            <w:tcW w:w="120" w:type="dxa"/>
            <w:vAlign w:val="bottom"/>
            <w:tcBorders>
              <w:bottom w:val="single" w:sz="8" w:color="auto"/>
            </w:tcBorders>
            <w:shd w:val="clear" w:color="auto" w:fill="B6B6B6"/>
          </w:tcPr>
          <w:p>
            <w:pPr>
              <w:spacing w:after="0"/>
              <w:rPr>
                <w:sz w:val="22"/>
                <w:szCs w:val="22"/>
                <w:color w:val="auto"/>
              </w:rPr>
            </w:pP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auto"/>
            </w:tcBorders>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0"/>
        </w:trPr>
        <w:tc>
          <w:tcPr>
            <w:tcW w:w="81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Total fee revenue and other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27,946</w:t>
            </w:r>
          </w:p>
        </w:tc>
        <w:tc>
          <w:tcPr>
            <w:tcW w:w="50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28,038</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Leases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leases certain premises under operating leases. As of March 31, 2026, the Company had lease liabilities of $4.3 million and right-of-use assets of $4.2 million. Lease liabilities and right-of-use assets are reflected in other liabilities and other assets, respectively. Presented within occupancy expense on the Consolidated Statements of Income for the three months ended March 31, 2026, operating lease cost was $214,000, short-term lease cost was $46,000, and there was no variable lease cost. At March 31, 2026, the weighted-average remaining lease term for the operating leases was 5.9 years and the weighted-average discount rate used in the measurement of operating lease liabilities was 2.75%. Certain of the Company’s leases contain options to renew the lease; however, these renewal options are not included in the calculation of the lease liabilities as they are not reasonably certain to be exercised. See the Company’s 2025 Form 10-K for information regarding these commitments.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 maturity analysis of operating lease liabilities and undiscounted cash flows as of March 31, 2026 is as follows:</w:t>
            </w:r>
          </w:p>
        </w:tc>
        <w:tc>
          <w:tcPr>
            <w:tcW w:w="9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960" w:type="dxa"/>
            <w:vAlign w:val="bottom"/>
          </w:tcPr>
          <w:p>
            <w:pPr>
              <w:spacing w:after="0"/>
              <w:rPr>
                <w:sz w:val="24"/>
                <w:szCs w:val="24"/>
                <w:color w:val="auto"/>
              </w:rPr>
            </w:pPr>
          </w:p>
        </w:tc>
        <w:tc>
          <w:tcPr>
            <w:tcW w:w="14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1"/>
        </w:trPr>
        <w:tc>
          <w:tcPr>
            <w:tcW w:w="88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0" w:type="dxa"/>
            <w:vAlign w:val="bottom"/>
          </w:tcPr>
          <w:p>
            <w:pPr>
              <w:spacing w:after="0"/>
              <w:rPr>
                <w:sz w:val="1"/>
                <w:szCs w:val="1"/>
                <w:color w:val="auto"/>
              </w:rPr>
            </w:pPr>
          </w:p>
        </w:tc>
      </w:tr>
      <w:tr>
        <w:trPr>
          <w:trHeight w:val="252"/>
        </w:trPr>
        <w:tc>
          <w:tcPr>
            <w:tcW w:w="8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Lease payments due</w:t>
            </w:r>
          </w:p>
        </w:tc>
        <w:tc>
          <w:tcPr>
            <w:tcW w:w="960" w:type="dxa"/>
            <w:vAlign w:val="bottom"/>
            <w:shd w:val="clear" w:color="auto" w:fill="B6B6B6"/>
          </w:tcPr>
          <w:p>
            <w:pPr>
              <w:spacing w:after="0"/>
              <w:rPr>
                <w:sz w:val="21"/>
                <w:szCs w:val="21"/>
                <w:color w:val="auto"/>
              </w:rPr>
            </w:pPr>
          </w:p>
        </w:tc>
        <w:tc>
          <w:tcPr>
            <w:tcW w:w="148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than 1 year</w:t>
            </w: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63"/>
        </w:trPr>
        <w:tc>
          <w:tcPr>
            <w:tcW w:w="880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1-2 years</w:t>
            </w:r>
          </w:p>
        </w:tc>
        <w:tc>
          <w:tcPr>
            <w:tcW w:w="960" w:type="dxa"/>
            <w:vAlign w:val="bottom"/>
            <w:shd w:val="clear" w:color="auto" w:fill="B6B6B6"/>
          </w:tcPr>
          <w:p>
            <w:pPr>
              <w:spacing w:after="0"/>
              <w:rPr>
                <w:sz w:val="22"/>
                <w:szCs w:val="22"/>
                <w:color w:val="auto"/>
              </w:rPr>
            </w:pPr>
          </w:p>
        </w:tc>
        <w:tc>
          <w:tcPr>
            <w:tcW w:w="14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50"/>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2-3 years</w:t>
            </w:r>
          </w:p>
        </w:tc>
        <w:tc>
          <w:tcPr>
            <w:tcW w:w="9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63"/>
        </w:trPr>
        <w:tc>
          <w:tcPr>
            <w:tcW w:w="880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3-4 years</w:t>
            </w:r>
          </w:p>
        </w:tc>
        <w:tc>
          <w:tcPr>
            <w:tcW w:w="960" w:type="dxa"/>
            <w:vAlign w:val="bottom"/>
            <w:shd w:val="clear" w:color="auto" w:fill="B6B6B6"/>
          </w:tcPr>
          <w:p>
            <w:pPr>
              <w:spacing w:after="0"/>
              <w:rPr>
                <w:sz w:val="22"/>
                <w:szCs w:val="22"/>
                <w:color w:val="auto"/>
              </w:rPr>
            </w:pPr>
          </w:p>
        </w:tc>
        <w:tc>
          <w:tcPr>
            <w:tcW w:w="14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50"/>
        </w:trPr>
        <w:tc>
          <w:tcPr>
            <w:tcW w:w="8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 years</w:t>
            </w:r>
          </w:p>
        </w:tc>
        <w:tc>
          <w:tcPr>
            <w:tcW w:w="9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57"/>
        </w:trPr>
        <w:tc>
          <w:tcPr>
            <w:tcW w:w="8800" w:type="dxa"/>
            <w:vAlign w:val="bottom"/>
            <w:tcBorders>
              <w:bottom w:val="single" w:sz="8" w:color="auto"/>
            </w:tcBorders>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Over 5 years</w:t>
            </w:r>
          </w:p>
        </w:tc>
        <w:tc>
          <w:tcPr>
            <w:tcW w:w="960" w:type="dxa"/>
            <w:vAlign w:val="bottom"/>
            <w:tcBorders>
              <w:bottom w:val="single" w:sz="8" w:color="auto"/>
            </w:tcBorders>
            <w:shd w:val="clear" w:color="auto" w:fill="B6B6B6"/>
          </w:tcPr>
          <w:p>
            <w:pPr>
              <w:spacing w:after="0"/>
              <w:rPr>
                <w:sz w:val="22"/>
                <w:szCs w:val="22"/>
                <w:color w:val="auto"/>
              </w:rPr>
            </w:pP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50"/>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9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0" w:type="dxa"/>
            <w:vAlign w:val="bottom"/>
          </w:tcPr>
          <w:p>
            <w:pPr>
              <w:spacing w:after="0"/>
              <w:rPr>
                <w:sz w:val="1"/>
                <w:szCs w:val="1"/>
                <w:color w:val="auto"/>
              </w:rPr>
            </w:pPr>
          </w:p>
        </w:tc>
      </w:tr>
      <w:tr>
        <w:trPr>
          <w:trHeight w:val="257"/>
        </w:trPr>
        <w:tc>
          <w:tcPr>
            <w:tcW w:w="880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Discount on cash flows</w:t>
            </w:r>
          </w:p>
        </w:tc>
        <w:tc>
          <w:tcPr>
            <w:tcW w:w="960" w:type="dxa"/>
            <w:vAlign w:val="bottom"/>
            <w:tcBorders>
              <w:bottom w:val="single" w:sz="8" w:color="auto"/>
            </w:tcBorders>
            <w:shd w:val="clear" w:color="auto" w:fill="B6B6B6"/>
          </w:tcPr>
          <w:p>
            <w:pPr>
              <w:spacing w:after="0"/>
              <w:rPr>
                <w:sz w:val="22"/>
                <w:szCs w:val="22"/>
                <w:color w:val="auto"/>
              </w:rPr>
            </w:pP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lease liability</w:t>
            </w: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20"/>
        <w:spacing w:after="0" w:line="452" w:lineRule="auto"/>
        <w:rPr>
          <w:sz w:val="20"/>
          <w:szCs w:val="20"/>
          <w:color w:val="auto"/>
        </w:rPr>
      </w:pPr>
      <w:r>
        <w:rPr>
          <w:rFonts w:ascii="Times New Roman" w:cs="Times New Roman" w:eastAsia="Times New Roman" w:hAnsi="Times New Roman"/>
          <w:sz w:val="18"/>
          <w:szCs w:val="18"/>
          <w:color w:val="auto"/>
        </w:rPr>
        <w:t xml:space="preserve">There were no sale and leaseback transactions, leveraged leases, or lease transactions with related parties during the three months ended March 31, 2026. </w:t>
      </w:r>
      <w:r>
        <w:rPr>
          <w:rFonts w:ascii="Times New Roman" w:cs="Times New Roman" w:eastAsia="Times New Roman" w:hAnsi="Times New Roman"/>
          <w:sz w:val="18"/>
          <w:szCs w:val="18"/>
          <w:b w:val="1"/>
          <w:bCs w:val="1"/>
          <w:color w:val="auto"/>
        </w:rPr>
        <w:t>Note 17 – Subsequent Events</w:t>
      </w:r>
    </w:p>
    <w:p>
      <w:pPr>
        <w:spacing w:after="0" w:line="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FASB ASC 855,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the Company has evaluated subsequent events after the consolidated balance sheet date of March 31, 2026. There were no other events identified that would require additional disclosures to prevent the Company’s unaudited consolidated financial statements from being misleading.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40"/>
        <w:spacing w:after="0" w:line="464"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Overview</w:t>
      </w:r>
    </w:p>
    <w:p>
      <w:pPr>
        <w:jc w:val="both"/>
        <w:spacing w:after="0" w:line="254" w:lineRule="auto"/>
        <w:rPr>
          <w:sz w:val="20"/>
          <w:szCs w:val="20"/>
          <w:color w:val="auto"/>
        </w:rPr>
      </w:pPr>
      <w:r>
        <w:rPr>
          <w:rFonts w:ascii="Times New Roman" w:cs="Times New Roman" w:eastAsia="Times New Roman" w:hAnsi="Times New Roman"/>
          <w:sz w:val="18"/>
          <w:szCs w:val="18"/>
          <w:color w:val="auto"/>
        </w:rPr>
        <w:t>Cass Information Systems, Inc. ("Cass" or the "Company") provides payment and information processing services to large manufacturing, distribution, and retail enterprises across the United States. The Company’s services include freight invoice rating, payment processing, auditing, and the generation of accounting and transportation information. Cass also processes and pays facility-related invoices, which include electricity and gas as well as waste and telecommunications expenses. Cass solutions include integrated payments, a B2B payment platform for clients that require an agile fintech partner. Additionally, the Company offers a church management software solution and an on-line platform to provide generosity services for faith-based and non-profit organizations. The Company’s bank subsidiary, Cass Commercial Bank (the “Bank”), supports the Company’s payment operations. The Bank also provides banking services to its target markets, which include privately held businesses in the St. Louis metropolitan area and restaurant franchises and faith-based ministries within the United States.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 Cass is compensated for its information processing services through service fees, transactional level payment services, and investment of account balances generated during the payment process. Both the number of transactions processed and the dollar volume processed are therefore key metrics followed by management. The Bank earns most of its revenue from net interest income.</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Various factors will influence the Company’s revenue and profitability, such as changes in the general level of interest rates, which has a significant effect on net interest income; industry-wide factors, such as the willingness of large corporations to outsource key business functions, and the general level of transportation and energy costs; and economic factors that include the general level of economic activity, the ability to hire and retain qualified staff, the growth and quality of the Bank’s loan portfolio, and the effects of tariffs or other domestic or international governmental policies. For a more detailed discussion of the Company’s revenue drivers and factors that impact the Company’s results of operation and financial condition generally, see Item 7, “Management’s Discussion and Analysis of Financial Condition and Results of Operations” in the Company’s 2025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Industry Developments and Items of Note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freight rates have recently begun gradually increasing, volumes continue to decline on a year over year basis which continues to put pressure on transportation related processing fees. However, the increase in dollars paid due to rising freight rates and the impact of tariffs, is positively impacting the overall level of average accounts and drafts payable, which results in increased interest income, and average payments in advance of funding, which results in increased financial fees.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experienced an increase in facility dollar volumes in recent quarters due to higher energy usage and prices. Energy prices are rising due to a number of factors, including an aging power grid, and rising demand for electricity as a result of data center construction to power artificial intelligence and electric vehicles. Rising energy prices are positively impacting the overall level of average accounts and drafts payable, which results in increased interest income.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paragraphs more fully discuss the results of operations and changes in financial condition for the three months ended March 31, 2026 (“first quarter of 2026”) compared to the three months ended March 31, 2025 (“first quarter of 2025”). The following discussion and analysis should be read in conjunction with the unaudited consolidated financial statements and related notes and with the statistical information and financial data appearing in this report, as well as in the Company’s 2025 Form 10-K. Results of operations for the three months ended March 31, 2026 are not necessarily indicative of the results to be attained for any other period.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applied discontinued operations accounting in accordance with Accounting Standards Codification, or ASC, Topic 205-20, “Presentation of Financial Statements – Discontinued Operations,” to the assets and liabilities sold related to the Company's TEM Business Unit for the three months ended March 31, 2026, and 2025, as applicable. All financial information in this Quarterly Report on Form 10-Q is reported on a continuing operations basis, unless otherwise noted. See Note 2 to our consolidated financial statements for further discussion regarding discontinued operations.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Results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operating results: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First Quarter of</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tc>
        <w:tc>
          <w:tcPr>
            <w:tcW w:w="360" w:type="dxa"/>
            <w:vAlign w:val="bottom"/>
          </w:tcPr>
          <w:p>
            <w:pPr>
              <w:spacing w:after="0"/>
              <w:rPr>
                <w:sz w:val="14"/>
                <w:szCs w:val="14"/>
                <w:color w:val="auto"/>
              </w:rPr>
            </w:pPr>
          </w:p>
        </w:tc>
        <w:tc>
          <w:tcPr>
            <w:tcW w:w="126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4"/>
                <w:szCs w:val="14"/>
                <w:color w:val="auto"/>
              </w:rPr>
            </w:pPr>
          </w:p>
        </w:tc>
        <w:tc>
          <w:tcPr>
            <w:tcW w:w="1720" w:type="dxa"/>
            <w:vAlign w:val="bottom"/>
            <w:vMerge w:val="restart"/>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0" w:type="dxa"/>
            <w:vAlign w:val="bottom"/>
          </w:tcPr>
          <w:p>
            <w:pPr>
              <w:jc w:val="right"/>
              <w:ind w:right="61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630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vMerge w:val="continue"/>
          </w:tcPr>
          <w:p>
            <w:pPr>
              <w:spacing w:after="0"/>
              <w:rPr>
                <w:sz w:val="21"/>
                <w:szCs w:val="21"/>
                <w:color w:val="auto"/>
              </w:rPr>
            </w:pPr>
          </w:p>
        </w:tc>
        <w:tc>
          <w:tcPr>
            <w:tcW w:w="14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50"/>
        </w:trPr>
        <w:tc>
          <w:tcPr>
            <w:tcW w:w="63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36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15,728</w:t>
            </w:r>
          </w:p>
        </w:tc>
        <w:tc>
          <w:tcPr>
            <w:tcW w:w="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16,469</w:t>
            </w:r>
          </w:p>
        </w:tc>
        <w:tc>
          <w:tcPr>
            <w:tcW w:w="14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36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10,431</w:t>
            </w:r>
          </w:p>
        </w:tc>
        <w:tc>
          <w:tcPr>
            <w:tcW w:w="200" w:type="dxa"/>
            <w:vAlign w:val="bottom"/>
          </w:tcPr>
          <w:p>
            <w:pPr>
              <w:spacing w:after="0"/>
              <w:rPr>
                <w:sz w:val="21"/>
                <w:szCs w:val="21"/>
                <w:color w:val="auto"/>
              </w:rPr>
            </w:pPr>
          </w:p>
        </w:tc>
        <w:tc>
          <w:tcPr>
            <w:tcW w:w="1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9,961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63"/>
        </w:trPr>
        <w:tc>
          <w:tcPr>
            <w:tcW w:w="63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36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21,216</w:t>
            </w:r>
          </w:p>
        </w:tc>
        <w:tc>
          <w:tcPr>
            <w:tcW w:w="200" w:type="dxa"/>
            <w:vAlign w:val="bottom"/>
            <w:shd w:val="clear" w:color="auto" w:fill="B6B6B6"/>
          </w:tcPr>
          <w:p>
            <w:pPr>
              <w:spacing w:after="0"/>
              <w:rPr>
                <w:sz w:val="22"/>
                <w:szCs w:val="22"/>
                <w:color w:val="auto"/>
              </w:rPr>
            </w:pPr>
          </w:p>
        </w:tc>
        <w:tc>
          <w:tcPr>
            <w:tcW w:w="1720" w:type="dxa"/>
            <w:vAlign w:val="bottom"/>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19,274</w:t>
            </w:r>
          </w:p>
        </w:tc>
        <w:tc>
          <w:tcPr>
            <w:tcW w:w="14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6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21"/>
                <w:szCs w:val="21"/>
                <w:color w:val="auto"/>
              </w:rPr>
            </w:pPr>
          </w:p>
        </w:tc>
        <w:tc>
          <w:tcPr>
            <w:tcW w:w="1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905</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63"/>
        </w:trPr>
        <w:tc>
          <w:tcPr>
            <w:tcW w:w="63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Gain (loss) on sale of investment securities</w:t>
            </w:r>
          </w:p>
        </w:tc>
        <w:tc>
          <w:tcPr>
            <w:tcW w:w="36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B6B6B6"/>
          </w:tcPr>
          <w:p>
            <w:pPr>
              <w:spacing w:after="0"/>
              <w:rPr>
                <w:sz w:val="22"/>
                <w:szCs w:val="22"/>
                <w:color w:val="auto"/>
              </w:rPr>
            </w:pPr>
          </w:p>
        </w:tc>
        <w:tc>
          <w:tcPr>
            <w:tcW w:w="1720" w:type="dxa"/>
            <w:vAlign w:val="bottom"/>
            <w:shd w:val="clear" w:color="auto" w:fill="B6B6B6"/>
          </w:tcPr>
          <w:p>
            <w:pPr>
              <w:jc w:val="right"/>
              <w:ind w:right="370"/>
              <w:spacing w:after="0"/>
              <w:rPr>
                <w:sz w:val="20"/>
                <w:szCs w:val="20"/>
                <w:color w:val="auto"/>
              </w:rPr>
            </w:pPr>
            <w:r>
              <w:rPr>
                <w:rFonts w:ascii="Times New Roman" w:cs="Times New Roman" w:eastAsia="Times New Roman" w:hAnsi="Times New Roman"/>
                <w:sz w:val="18"/>
                <w:szCs w:val="18"/>
                <w:color w:val="auto"/>
              </w:rPr>
              <w:t>(18)</w:t>
            </w:r>
          </w:p>
        </w:tc>
        <w:tc>
          <w:tcPr>
            <w:tcW w:w="14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1,782</w:t>
            </w:r>
          </w:p>
        </w:tc>
        <w:tc>
          <w:tcPr>
            <w:tcW w:w="2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1,626</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57"/>
        </w:trPr>
        <w:tc>
          <w:tcPr>
            <w:tcW w:w="63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6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49,101</w:t>
            </w:r>
          </w:p>
        </w:tc>
        <w:tc>
          <w:tcPr>
            <w:tcW w:w="200" w:type="dxa"/>
            <w:vAlign w:val="bottom"/>
            <w:shd w:val="clear" w:color="auto" w:fill="B6B6B6"/>
          </w:tcPr>
          <w:p>
            <w:pPr>
              <w:spacing w:after="0"/>
              <w:rPr>
                <w:sz w:val="22"/>
                <w:szCs w:val="22"/>
                <w:color w:val="auto"/>
              </w:rPr>
            </w:pPr>
          </w:p>
        </w:tc>
        <w:tc>
          <w:tcPr>
            <w:tcW w:w="1720" w:type="dxa"/>
            <w:vAlign w:val="bottom"/>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46,407</w:t>
            </w:r>
          </w:p>
        </w:tc>
        <w:tc>
          <w:tcPr>
            <w:tcW w:w="14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38,218</w:t>
            </w:r>
          </w:p>
        </w:tc>
        <w:tc>
          <w:tcPr>
            <w:tcW w:w="2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35,530</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57"/>
        </w:trPr>
        <w:tc>
          <w:tcPr>
            <w:tcW w:w="63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6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10,883</w:t>
            </w:r>
          </w:p>
        </w:tc>
        <w:tc>
          <w:tcPr>
            <w:tcW w:w="200" w:type="dxa"/>
            <w:vAlign w:val="bottom"/>
            <w:shd w:val="clear" w:color="auto" w:fill="B6B6B6"/>
          </w:tcPr>
          <w:p>
            <w:pPr>
              <w:spacing w:after="0"/>
              <w:rPr>
                <w:sz w:val="22"/>
                <w:szCs w:val="22"/>
                <w:color w:val="auto"/>
              </w:rPr>
            </w:pPr>
          </w:p>
        </w:tc>
        <w:tc>
          <w:tcPr>
            <w:tcW w:w="1720" w:type="dxa"/>
            <w:vAlign w:val="bottom"/>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10,877</w:t>
            </w:r>
          </w:p>
        </w:tc>
        <w:tc>
          <w:tcPr>
            <w:tcW w:w="14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2,144</w:t>
            </w:r>
          </w:p>
        </w:tc>
        <w:tc>
          <w:tcPr>
            <w:tcW w:w="2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2,326</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6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8,739</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8,551</w:t>
            </w:r>
          </w:p>
        </w:tc>
        <w:tc>
          <w:tcPr>
            <w:tcW w:w="14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415</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8,832</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8,966</w:t>
            </w:r>
          </w:p>
        </w:tc>
        <w:tc>
          <w:tcPr>
            <w:tcW w:w="14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0.66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0.63</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Diluted earnings per share from discontinued operations</w:t>
            </w:r>
          </w:p>
        </w:tc>
        <w:tc>
          <w:tcPr>
            <w:tcW w:w="36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0.03</w:t>
            </w:r>
          </w:p>
        </w:tc>
        <w:tc>
          <w:tcPr>
            <w:tcW w:w="14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5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0.67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0.66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63"/>
        </w:trPr>
        <w:tc>
          <w:tcPr>
            <w:tcW w:w="63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Return on average assets</w:t>
            </w:r>
          </w:p>
        </w:tc>
        <w:tc>
          <w:tcPr>
            <w:tcW w:w="36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200" w:type="dxa"/>
            <w:vAlign w:val="bottom"/>
            <w:shd w:val="clear" w:color="auto" w:fill="B6B6B6"/>
          </w:tcPr>
          <w:p>
            <w:pPr>
              <w:spacing w:after="0"/>
              <w:rPr>
                <w:sz w:val="22"/>
                <w:szCs w:val="22"/>
                <w:color w:val="auto"/>
              </w:rPr>
            </w:pPr>
          </w:p>
        </w:tc>
        <w:tc>
          <w:tcPr>
            <w:tcW w:w="1720" w:type="dxa"/>
            <w:vAlign w:val="bottom"/>
            <w:shd w:val="clear" w:color="auto" w:fill="B6B6B6"/>
          </w:tcPr>
          <w:p>
            <w:pPr>
              <w:jc w:val="right"/>
              <w:ind w:right="210"/>
              <w:spacing w:after="0"/>
              <w:rPr>
                <w:sz w:val="20"/>
                <w:szCs w:val="20"/>
                <w:color w:val="auto"/>
              </w:rPr>
            </w:pPr>
            <w:r>
              <w:rPr>
                <w:rFonts w:ascii="Times New Roman" w:cs="Times New Roman" w:eastAsia="Times New Roman" w:hAnsi="Times New Roman"/>
                <w:sz w:val="18"/>
                <w:szCs w:val="18"/>
                <w:color w:val="auto"/>
              </w:rPr>
              <w:t>1.51 %</w:t>
            </w:r>
          </w:p>
        </w:tc>
        <w:tc>
          <w:tcPr>
            <w:tcW w:w="14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Return on average equity</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14.63 %</w:t>
            </w:r>
          </w:p>
        </w:tc>
        <w:tc>
          <w:tcPr>
            <w:tcW w:w="2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15.91 %</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net revenue of $49.1 million during the first quarter of 2026, an increase of 5.8% from the first quarter of 2025, primarily driven by an increase in net interest income and financial fees, partially offset by lower processing fees. Operating expense increased 7.6% compared to the first quarter of 2025 as the prior year benefited from a $2.0 million bad debt recovery. Net income was $8.8 million, a decrease of 1.5% and diluted EPS was $0.67 per share, an increase of 1.5% from the three month period ended March 31,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posted a 1.42% return on average assets and 14.63% return on average equity.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 Revenue and Other Income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fee revenue is derived mainly from transportation and facility processing and financial fees. As the Company provides its processing and payment services, it is compensated by service fees which are typically calculated on a per-item basis, discounts received for services provided to carriers and by the accounts and drafts payable balances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generated in the payment process which can be used to generate interest income. Processing volumes, average payments in advance of funding, and fee revenue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First Quarter of</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40" w:type="dxa"/>
            <w:vAlign w:val="bottom"/>
          </w:tcPr>
          <w:p>
            <w:pPr>
              <w:spacing w:after="0"/>
              <w:rPr>
                <w:sz w:val="14"/>
                <w:szCs w:val="14"/>
                <w:color w:val="auto"/>
              </w:rPr>
            </w:pPr>
          </w:p>
        </w:tc>
        <w:tc>
          <w:tcPr>
            <w:tcW w:w="114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4"/>
                <w:szCs w:val="14"/>
                <w:color w:val="auto"/>
              </w:rPr>
            </w:pPr>
          </w:p>
        </w:tc>
        <w:tc>
          <w:tcPr>
            <w:tcW w:w="160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20" w:type="dxa"/>
            <w:vAlign w:val="bottom"/>
          </w:tcPr>
          <w:p>
            <w:pPr>
              <w:jc w:val="right"/>
              <w:ind w:right="63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1"/>
        </w:trPr>
        <w:tc>
          <w:tcPr>
            <w:tcW w:w="652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vMerge w:val="continue"/>
          </w:tcPr>
          <w:p>
            <w:pPr>
              <w:spacing w:after="0"/>
              <w:rPr>
                <w:sz w:val="20"/>
                <w:szCs w:val="20"/>
                <w:color w:val="auto"/>
              </w:rPr>
            </w:pPr>
          </w:p>
        </w:tc>
        <w:tc>
          <w:tcPr>
            <w:tcW w:w="14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52"/>
        </w:trPr>
        <w:tc>
          <w:tcPr>
            <w:tcW w:w="65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Transportation invoice volume</w:t>
            </w:r>
          </w:p>
        </w:tc>
        <w:tc>
          <w:tcPr>
            <w:tcW w:w="340" w:type="dxa"/>
            <w:vAlign w:val="bottom"/>
            <w:shd w:val="clear" w:color="auto" w:fill="B6B6B6"/>
          </w:tcPr>
          <w:p>
            <w:pPr>
              <w:spacing w:after="0"/>
              <w:rPr>
                <w:sz w:val="21"/>
                <w:szCs w:val="21"/>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220" w:type="dxa"/>
            <w:vAlign w:val="bottom"/>
            <w:shd w:val="clear" w:color="auto" w:fill="B6B6B6"/>
          </w:tcPr>
          <w:p>
            <w:pPr>
              <w:spacing w:after="0"/>
              <w:rPr>
                <w:sz w:val="21"/>
                <w:szCs w:val="21"/>
                <w:color w:val="auto"/>
              </w:rPr>
            </w:pPr>
          </w:p>
        </w:tc>
        <w:tc>
          <w:tcPr>
            <w:tcW w:w="1600" w:type="dxa"/>
            <w:vAlign w:val="bottom"/>
            <w:shd w:val="clear" w:color="auto" w:fill="B6B6B6"/>
          </w:tcPr>
          <w:p>
            <w:pPr>
              <w:jc w:val="right"/>
              <w:ind w:right="270"/>
              <w:spacing w:after="0"/>
              <w:rPr>
                <w:sz w:val="20"/>
                <w:szCs w:val="20"/>
                <w:color w:val="auto"/>
              </w:rPr>
            </w:pPr>
            <w:r>
              <w:rPr>
                <w:rFonts w:ascii="Times New Roman" w:cs="Times New Roman" w:eastAsia="Times New Roman" w:hAnsi="Times New Roman"/>
                <w:sz w:val="18"/>
                <w:szCs w:val="18"/>
                <w:color w:val="auto"/>
              </w:rPr>
              <w:t>8,355</w:t>
            </w:r>
          </w:p>
        </w:tc>
        <w:tc>
          <w:tcPr>
            <w:tcW w:w="14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 invoice dollar volume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9,032,515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8,643,138</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63"/>
        </w:trPr>
        <w:tc>
          <w:tcPr>
            <w:tcW w:w="65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Facility-related transaction volume</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220" w:type="dxa"/>
            <w:vAlign w:val="bottom"/>
            <w:shd w:val="clear" w:color="auto" w:fill="B6B6B6"/>
          </w:tcPr>
          <w:p>
            <w:pPr>
              <w:spacing w:after="0"/>
              <w:rPr>
                <w:sz w:val="22"/>
                <w:szCs w:val="22"/>
                <w:color w:val="auto"/>
              </w:rPr>
            </w:pPr>
          </w:p>
        </w:tc>
        <w:tc>
          <w:tcPr>
            <w:tcW w:w="1600" w:type="dxa"/>
            <w:vAlign w:val="bottom"/>
            <w:shd w:val="clear" w:color="auto" w:fill="B6B6B6"/>
          </w:tcPr>
          <w:p>
            <w:pPr>
              <w:jc w:val="right"/>
              <w:ind w:right="270"/>
              <w:spacing w:after="0"/>
              <w:rPr>
                <w:sz w:val="20"/>
                <w:szCs w:val="20"/>
                <w:color w:val="auto"/>
              </w:rPr>
            </w:pPr>
            <w:r>
              <w:rPr>
                <w:rFonts w:ascii="Times New Roman" w:cs="Times New Roman" w:eastAsia="Times New Roman" w:hAnsi="Times New Roman"/>
                <w:sz w:val="18"/>
                <w:szCs w:val="18"/>
                <w:color w:val="auto"/>
              </w:rPr>
              <w:t>4,225</w:t>
            </w:r>
          </w:p>
        </w:tc>
        <w:tc>
          <w:tcPr>
            <w:tcW w:w="14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5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Facility-related dollar volume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6,253,208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5,822,935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63"/>
        </w:trPr>
        <w:tc>
          <w:tcPr>
            <w:tcW w:w="65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Average payments in advance of funding</w:t>
            </w:r>
          </w:p>
        </w:tc>
        <w:tc>
          <w:tcPr>
            <w:tcW w:w="3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176,987</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B6B6B6"/>
          </w:tcPr>
          <w:p>
            <w:pPr>
              <w:jc w:val="right"/>
              <w:ind w:right="270"/>
              <w:spacing w:after="0"/>
              <w:rPr>
                <w:sz w:val="20"/>
                <w:szCs w:val="20"/>
                <w:color w:val="auto"/>
              </w:rPr>
            </w:pPr>
            <w:r>
              <w:rPr>
                <w:rFonts w:ascii="Times New Roman" w:cs="Times New Roman" w:eastAsia="Times New Roman" w:hAnsi="Times New Roman"/>
                <w:sz w:val="18"/>
                <w:szCs w:val="18"/>
                <w:color w:val="auto"/>
              </w:rPr>
              <w:t>173,590</w:t>
            </w:r>
          </w:p>
        </w:tc>
        <w:tc>
          <w:tcPr>
            <w:tcW w:w="14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5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16,469</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63"/>
        </w:trPr>
        <w:tc>
          <w:tcPr>
            <w:tcW w:w="65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3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B6B6B6"/>
          </w:tcPr>
          <w:p>
            <w:pPr>
              <w:jc w:val="right"/>
              <w:ind w:right="270"/>
              <w:spacing w:after="0"/>
              <w:rPr>
                <w:sz w:val="20"/>
                <w:szCs w:val="20"/>
                <w:color w:val="auto"/>
              </w:rPr>
            </w:pPr>
            <w:r>
              <w:rPr>
                <w:rFonts w:ascii="Times New Roman" w:cs="Times New Roman" w:eastAsia="Times New Roman" w:hAnsi="Times New Roman"/>
                <w:sz w:val="18"/>
                <w:szCs w:val="18"/>
                <w:color w:val="auto"/>
              </w:rPr>
              <w:t>9,961</w:t>
            </w:r>
          </w:p>
        </w:tc>
        <w:tc>
          <w:tcPr>
            <w:tcW w:w="14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5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fees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1,626</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57"/>
        </w:trPr>
        <w:tc>
          <w:tcPr>
            <w:tcW w:w="65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Gain (loss) on sale of investment securities</w:t>
            </w:r>
          </w:p>
        </w:tc>
        <w:tc>
          <w:tcPr>
            <w:tcW w:w="34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B6B6B6"/>
          </w:tcPr>
          <w:p>
            <w:pPr>
              <w:jc w:val="right"/>
              <w:ind w:right="210"/>
              <w:spacing w:after="0"/>
              <w:rPr>
                <w:sz w:val="20"/>
                <w:szCs w:val="20"/>
                <w:color w:val="auto"/>
              </w:rPr>
            </w:pPr>
            <w:r>
              <w:rPr>
                <w:rFonts w:ascii="Times New Roman" w:cs="Times New Roman" w:eastAsia="Times New Roman" w:hAnsi="Times New Roman"/>
                <w:sz w:val="18"/>
                <w:szCs w:val="18"/>
                <w:color w:val="auto"/>
              </w:rPr>
              <w:t>(18)</w:t>
            </w:r>
          </w:p>
        </w:tc>
        <w:tc>
          <w:tcPr>
            <w:tcW w:w="14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Processing fees decreased $741,000, or 4.5% over the same period in the prior year reflecting lower transportation and facility transaction volumes.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fees increased $470,000, or 4.7%, primarily attributable to an increase in average payments in advance of funding of 2.0% compared to the prior period. The Company has recently seen increased demand for its quick pay solutions and continues to focus on the rollout of its Amplify working capital solution as well as other opportunities to increase financial fees in future quarters.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First Quarter of</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80" w:type="dxa"/>
            <w:vAlign w:val="bottom"/>
          </w:tcPr>
          <w:p>
            <w:pPr>
              <w:spacing w:after="0"/>
              <w:rPr>
                <w:sz w:val="14"/>
                <w:szCs w:val="14"/>
                <w:color w:val="auto"/>
              </w:rPr>
            </w:pPr>
          </w:p>
        </w:tc>
        <w:tc>
          <w:tcPr>
            <w:tcW w:w="11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Pr>
          <w:p>
            <w:pPr>
              <w:spacing w:after="0"/>
              <w:rPr>
                <w:sz w:val="14"/>
                <w:szCs w:val="14"/>
                <w:color w:val="auto"/>
              </w:rPr>
            </w:pPr>
          </w:p>
        </w:tc>
        <w:tc>
          <w:tcPr>
            <w:tcW w:w="134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60" w:type="dxa"/>
            <w:vAlign w:val="bottom"/>
          </w:tcPr>
          <w:p>
            <w:pPr>
              <w:jc w:val="right"/>
              <w:ind w:right="45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1"/>
        </w:trPr>
        <w:tc>
          <w:tcPr>
            <w:tcW w:w="656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52"/>
        </w:trPr>
        <w:tc>
          <w:tcPr>
            <w:tcW w:w="65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Average earning assets</w:t>
            </w:r>
          </w:p>
        </w:tc>
        <w:tc>
          <w:tcPr>
            <w:tcW w:w="38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2,214,838</w:t>
            </w:r>
          </w:p>
        </w:tc>
        <w:tc>
          <w:tcPr>
            <w:tcW w:w="5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B6B6B6"/>
          </w:tcPr>
          <w:p>
            <w:pPr>
              <w:jc w:val="right"/>
              <w:ind w:right="230"/>
              <w:spacing w:after="0"/>
              <w:rPr>
                <w:sz w:val="20"/>
                <w:szCs w:val="20"/>
                <w:color w:val="auto"/>
              </w:rPr>
            </w:pPr>
            <w:r>
              <w:rPr>
                <w:rFonts w:ascii="Times New Roman" w:cs="Times New Roman" w:eastAsia="Times New Roman" w:hAnsi="Times New Roman"/>
                <w:sz w:val="18"/>
                <w:szCs w:val="18"/>
                <w:color w:val="auto"/>
              </w:rPr>
              <w:t>2,104,603</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interest-bearing liabilities</w:t>
            </w:r>
          </w:p>
        </w:tc>
        <w:tc>
          <w:tcPr>
            <w:tcW w:w="38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652,328</w:t>
            </w:r>
          </w:p>
        </w:tc>
        <w:tc>
          <w:tcPr>
            <w:tcW w:w="520" w:type="dxa"/>
            <w:vAlign w:val="bottom"/>
          </w:tcPr>
          <w:p>
            <w:pPr>
              <w:spacing w:after="0"/>
              <w:rPr>
                <w:sz w:val="21"/>
                <w:szCs w:val="21"/>
                <w:color w:val="auto"/>
              </w:rPr>
            </w:pP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628,225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63"/>
        </w:trPr>
        <w:tc>
          <w:tcPr>
            <w:tcW w:w="65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380" w:type="dxa"/>
            <w:vAlign w:val="bottom"/>
            <w:shd w:val="clear" w:color="auto" w:fill="B6B6B6"/>
          </w:tcPr>
          <w:p>
            <w:pPr>
              <w:spacing w:after="0"/>
              <w:rPr>
                <w:sz w:val="22"/>
                <w:szCs w:val="22"/>
                <w:color w:val="auto"/>
              </w:rPr>
            </w:pPr>
          </w:p>
        </w:tc>
        <w:tc>
          <w:tcPr>
            <w:tcW w:w="118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21,589</w:t>
            </w:r>
          </w:p>
        </w:tc>
        <w:tc>
          <w:tcPr>
            <w:tcW w:w="52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230"/>
              <w:spacing w:after="0"/>
              <w:rPr>
                <w:sz w:val="20"/>
                <w:szCs w:val="20"/>
                <w:color w:val="auto"/>
              </w:rPr>
            </w:pPr>
            <w:r>
              <w:rPr>
                <w:rFonts w:ascii="Times New Roman" w:cs="Times New Roman" w:eastAsia="Times New Roman" w:hAnsi="Times New Roman"/>
                <w:sz w:val="18"/>
                <w:szCs w:val="18"/>
                <w:color w:val="auto"/>
              </w:rPr>
              <w:t>19,442</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margin*</w:t>
            </w:r>
          </w:p>
        </w:tc>
        <w:tc>
          <w:tcPr>
            <w:tcW w:w="3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3.95 %</w:t>
            </w:r>
          </w:p>
        </w:tc>
        <w:tc>
          <w:tcPr>
            <w:tcW w:w="250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3.75 %</w:t>
            </w:r>
          </w:p>
        </w:tc>
      </w:tr>
      <w:tr>
        <w:trPr>
          <w:trHeight w:val="263"/>
        </w:trPr>
        <w:tc>
          <w:tcPr>
            <w:tcW w:w="5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Yield on earning assets*</w:t>
            </w:r>
          </w:p>
        </w:tc>
        <w:tc>
          <w:tcPr>
            <w:tcW w:w="3700" w:type="dxa"/>
            <w:vAlign w:val="bottom"/>
            <w:shd w:val="clear" w:color="auto" w:fill="B6B6B6"/>
          </w:tcPr>
          <w:p>
            <w:pPr>
              <w:jc w:val="right"/>
              <w:ind w:right="490"/>
              <w:spacing w:after="0"/>
              <w:rPr>
                <w:sz w:val="20"/>
                <w:szCs w:val="20"/>
                <w:color w:val="auto"/>
              </w:rPr>
            </w:pPr>
            <w:r>
              <w:rPr>
                <w:rFonts w:ascii="Times New Roman" w:cs="Times New Roman" w:eastAsia="Times New Roman" w:hAnsi="Times New Roman"/>
                <w:sz w:val="18"/>
                <w:szCs w:val="18"/>
                <w:color w:val="auto"/>
              </w:rPr>
              <w:t>4.67 %</w:t>
            </w:r>
          </w:p>
        </w:tc>
        <w:tc>
          <w:tcPr>
            <w:tcW w:w="2500" w:type="dxa"/>
            <w:vAlign w:val="bottom"/>
            <w:shd w:val="clear" w:color="auto" w:fill="B6B6B6"/>
          </w:tcPr>
          <w:p>
            <w:pPr>
              <w:jc w:val="right"/>
              <w:ind w:right="1290"/>
              <w:spacing w:after="0"/>
              <w:rPr>
                <w:sz w:val="20"/>
                <w:szCs w:val="20"/>
                <w:color w:val="auto"/>
              </w:rPr>
            </w:pPr>
            <w:r>
              <w:rPr>
                <w:rFonts w:ascii="Times New Roman" w:cs="Times New Roman" w:eastAsia="Times New Roman" w:hAnsi="Times New Roman"/>
                <w:sz w:val="18"/>
                <w:szCs w:val="18"/>
                <w:color w:val="auto"/>
              </w:rPr>
              <w:t>4.54 %</w:t>
            </w:r>
          </w:p>
        </w:tc>
      </w:tr>
      <w:tr>
        <w:trPr>
          <w:trHeight w:val="250"/>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interest-bearing liabilities</w:t>
            </w:r>
          </w:p>
        </w:tc>
        <w:tc>
          <w:tcPr>
            <w:tcW w:w="3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2.42 %</w:t>
            </w:r>
          </w:p>
        </w:tc>
        <w:tc>
          <w:tcPr>
            <w:tcW w:w="250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2.66 %</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on a tax-equivalent basis assuming a tax rate of 21% for both 2026 and 2025.</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net interest income is primarily attributable to the net interest margin improving to 3.95% as compared to 3.75% in the same period last year, in addition to an increase in average earning assets of $110.2 million, or 5.2%. The yield on interest-earning assets increased 13 basis points from 4.54% to 4.67% while the cost of interest-bearing liabilities decreased 24 basis points from 2.66% to 2.42%.</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Average loans decreased $43.2 million, or 3.9%, to $1.07 billion. The average yield on loans increased 20 basis points to 5.81%, primarily due to the continued maturity and subsequent re-pricing of fixed rate loans originated in the years 2021 and 2022 to current market interest rates as well as the payoff of a non-performing loan which increased the loan yield by seven basis points during the first quarter of 2026.</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Average investment securities increased $197.6 million, or 32.3%, to $808.8 million. The increase was primarily driven by the utilization of available liquidity arising from an increase in average accounts and drafts payable to purchase investment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securities. The average yield on taxable investment securities increased 68 basis points to 3.63% and the average yield on tax-exempt investment securities increased 136 basis points to 3.90%.</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Average short-term investments, consisting of interest-bearing deposits in other financial institutions and federal funds sold, decreased $44.2 million, or 11.5%, to $339.7 million. The decrease is primarily a result of the increase in average investment securities, partially offset by the increase in average funding sources and decrease in average loans. The average yield on short-term investments decreased 73 basis points to 3.38%, primarily due to the decrease in the Federal Funds rate. The majority of these short-term investments are held at the Federal Reserve Bank.</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average balance of interest-bearing deposits increased $20.0 million, or 3.2%, to $648.3 million. Average non-interest-bearing demand deposits increased $16.5 million, or 4.1%, to $421.7 million. The average rate paid on interest-bearing deposits decreased 27 basis points to 2.39% due to the reduction in short-term interest rates.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Average accounts and drafts payable increased $100.1 million, or 9.3%, to $1.17 billion. The increase in average accounts and drafts payable was primarily driven by the increase in facility dollar volumes of 7.4% as well as the increase in transportation dollar volumes of 4.5%.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of Assets, Liabilities and Shareholders' Equity; Interest Rate and Interest Differential</w:t>
      </w:r>
    </w:p>
    <w:p>
      <w:pPr>
        <w:spacing w:after="0" w:line="189" w:lineRule="exact"/>
        <w:rPr>
          <w:sz w:val="20"/>
          <w:szCs w:val="20"/>
          <w:color w:val="auto"/>
        </w:rPr>
      </w:pPr>
    </w:p>
    <w:p>
      <w:pPr>
        <w:jc w:val="both"/>
        <w:ind w:firstLine="9"/>
        <w:spacing w:after="0" w:line="266" w:lineRule="auto"/>
        <w:rPr>
          <w:sz w:val="20"/>
          <w:szCs w:val="20"/>
          <w:color w:val="auto"/>
        </w:rPr>
      </w:pPr>
      <w:r>
        <w:rPr>
          <w:rFonts w:ascii="Times New Roman" w:cs="Times New Roman" w:eastAsia="Times New Roman" w:hAnsi="Times New Roman"/>
          <w:sz w:val="18"/>
          <w:szCs w:val="18"/>
          <w:color w:val="auto"/>
        </w:rPr>
        <w:t>The following tables show the condensed average balance sheets for each of the periods reported, the tax-equivalent interest income and expense for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First Quarter of 2026</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First Quarter of 2025</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3"/>
                <w:szCs w:val="13"/>
                <w:color w:val="auto"/>
              </w:rPr>
            </w:pPr>
          </w:p>
        </w:tc>
        <w:tc>
          <w:tcPr>
            <w:tcW w:w="122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220" w:type="dxa"/>
            <w:vAlign w:val="bottom"/>
          </w:tcPr>
          <w:p>
            <w:pPr>
              <w:spacing w:after="0"/>
              <w:rPr>
                <w:sz w:val="13"/>
                <w:szCs w:val="13"/>
                <w:color w:val="auto"/>
              </w:rPr>
            </w:pPr>
          </w:p>
        </w:tc>
        <w:tc>
          <w:tcPr>
            <w:tcW w:w="9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3"/>
                <w:szCs w:val="13"/>
                <w:color w:val="auto"/>
              </w:rPr>
            </w:pPr>
          </w:p>
        </w:tc>
        <w:tc>
          <w:tcPr>
            <w:tcW w:w="122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9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48"/>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9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16"/>
        </w:trPr>
        <w:tc>
          <w:tcPr>
            <w:tcW w:w="3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r>
              <w:rPr>
                <w:rFonts w:ascii="Times New Roman" w:cs="Times New Roman" w:eastAsia="Times New Roman" w:hAnsi="Times New Roman"/>
                <w:sz w:val="18"/>
                <w:szCs w:val="18"/>
                <w:color w:val="auto"/>
                <w:vertAlign w:val="superscript"/>
              </w:rPr>
              <w:t>1</w:t>
            </w:r>
          </w:p>
        </w:tc>
        <w:tc>
          <w:tcPr>
            <w:tcW w:w="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340" w:type="dxa"/>
            <w:vAlign w:val="bottom"/>
            <w:shd w:val="clear" w:color="auto" w:fill="B6B6B6"/>
          </w:tcPr>
          <w:p>
            <w:pPr>
              <w:spacing w:after="0"/>
              <w:rPr>
                <w:sz w:val="18"/>
                <w:szCs w:val="18"/>
                <w:color w:val="auto"/>
              </w:rPr>
            </w:pPr>
          </w:p>
        </w:tc>
        <w:tc>
          <w:tcPr>
            <w:tcW w:w="1220" w:type="dxa"/>
            <w:vAlign w:val="bottom"/>
            <w:shd w:val="clear" w:color="auto" w:fill="B6B6B6"/>
          </w:tcPr>
          <w:p>
            <w:pPr>
              <w:spacing w:after="0"/>
              <w:rPr>
                <w:sz w:val="18"/>
                <w:szCs w:val="18"/>
                <w:color w:val="auto"/>
              </w:rPr>
            </w:pPr>
          </w:p>
        </w:tc>
        <w:tc>
          <w:tcPr>
            <w:tcW w:w="96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340" w:type="dxa"/>
            <w:vAlign w:val="bottom"/>
            <w:shd w:val="clear" w:color="auto" w:fill="B6B6B6"/>
          </w:tcPr>
          <w:p>
            <w:pPr>
              <w:spacing w:after="0"/>
              <w:rPr>
                <w:sz w:val="18"/>
                <w:szCs w:val="18"/>
                <w:color w:val="auto"/>
              </w:rPr>
            </w:pPr>
          </w:p>
        </w:tc>
        <w:tc>
          <w:tcPr>
            <w:tcW w:w="122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Interest-earning assets</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Loans</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w:t>
            </w:r>
          </w:p>
        </w:tc>
        <w:tc>
          <w:tcPr>
            <w:tcW w:w="220" w:type="dxa"/>
            <w:vAlign w:val="bottom"/>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1,066,371</w:t>
            </w:r>
          </w:p>
        </w:tc>
        <w:tc>
          <w:tcPr>
            <w:tcW w:w="340" w:type="dxa"/>
            <w:vAlign w:val="bottom"/>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15,277</w:t>
            </w: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5.81 %</w:t>
            </w: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1,109,526</w:t>
            </w:r>
          </w:p>
        </w:tc>
        <w:tc>
          <w:tcPr>
            <w:tcW w:w="340" w:type="dxa"/>
            <w:vAlign w:val="bottom"/>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15,350</w:t>
            </w: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5.61 %</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securities</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Taxable</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624,648</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5,595</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3.63 %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483,536</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3,514</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2.95 %</w:t>
            </w: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Tax-exempt</w:t>
            </w:r>
            <w:r>
              <w:rPr>
                <w:rFonts w:ascii="Times New Roman" w:cs="Times New Roman" w:eastAsia="Times New Roman" w:hAnsi="Times New Roman"/>
                <w:sz w:val="18"/>
                <w:szCs w:val="18"/>
                <w:color w:val="auto"/>
                <w:vertAlign w:val="superscript"/>
              </w:rPr>
              <w:t>4</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184,152</w:t>
            </w:r>
          </w:p>
        </w:tc>
        <w:tc>
          <w:tcPr>
            <w:tcW w:w="340" w:type="dxa"/>
            <w:vAlign w:val="bottom"/>
          </w:tcPr>
          <w:p>
            <w:pPr>
              <w:spacing w:after="0"/>
              <w:rPr>
                <w:sz w:val="18"/>
                <w:szCs w:val="18"/>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1,773</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127,705</w:t>
            </w:r>
          </w:p>
        </w:tc>
        <w:tc>
          <w:tcPr>
            <w:tcW w:w="340" w:type="dxa"/>
            <w:vAlign w:val="bottom"/>
          </w:tcPr>
          <w:p>
            <w:pPr>
              <w:spacing w:after="0"/>
              <w:rPr>
                <w:sz w:val="18"/>
                <w:szCs w:val="18"/>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801</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2.54 %</w:t>
            </w:r>
          </w:p>
        </w:tc>
        <w:tc>
          <w:tcPr>
            <w:tcW w:w="0" w:type="dxa"/>
            <w:vAlign w:val="bottom"/>
          </w:tcPr>
          <w:p>
            <w:pPr>
              <w:spacing w:after="0"/>
              <w:rPr>
                <w:sz w:val="1"/>
                <w:szCs w:val="1"/>
                <w:color w:val="auto"/>
              </w:rPr>
            </w:pPr>
          </w:p>
        </w:tc>
      </w:tr>
      <w:tr>
        <w:trPr>
          <w:trHeight w:val="221"/>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339,667</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2,832</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3.38 %</w:t>
            </w: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383,836</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3,893</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4.11 %</w:t>
            </w: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2,214,838</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25,477</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4.67 %</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2,104,603</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23,558</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Non-interest-earning assets</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due from banks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22,342</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20,610</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29,619</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30,892</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Bank-owned life insurance</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52,367</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50,499</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Goodwill and other intangibles</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19,741</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21,060</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 in advance of funding</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176,987</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173,590</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Unrealized loss on investment securities</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(31,024)</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(56,336)</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52,590</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62,500</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(13,600)</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(13,405)</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Assets of discontinued operations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14,393</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2,523,860</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6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2,408,406</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r>
              <w:rPr>
                <w:rFonts w:ascii="Times New Roman" w:cs="Times New Roman" w:eastAsia="Times New Roman" w:hAnsi="Times New Roman"/>
                <w:sz w:val="18"/>
                <w:szCs w:val="18"/>
                <w:b w:val="1"/>
                <w:bCs w:val="1"/>
                <w:color w:val="auto"/>
                <w:vertAlign w:val="superscript"/>
              </w:rPr>
              <w:t>1</w:t>
            </w: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Interest-bearing demand deposits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530,740</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2,865</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2.19 %</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537,938</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3,373</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Savings deposits</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6,496</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19</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1.19 %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7,834</w:t>
            </w: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25</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1.29 %</w:t>
            </w: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Time deposits &gt;= $100</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34,392</w:t>
            </w:r>
          </w:p>
        </w:tc>
        <w:tc>
          <w:tcPr>
            <w:tcW w:w="340" w:type="dxa"/>
            <w:vAlign w:val="bottom"/>
          </w:tcPr>
          <w:p>
            <w:pPr>
              <w:spacing w:after="0"/>
              <w:rPr>
                <w:sz w:val="16"/>
                <w:szCs w:val="16"/>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297</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25,739</w:t>
            </w:r>
          </w:p>
        </w:tc>
        <w:tc>
          <w:tcPr>
            <w:tcW w:w="340" w:type="dxa"/>
            <w:vAlign w:val="bottom"/>
          </w:tcPr>
          <w:p>
            <w:pPr>
              <w:spacing w:after="0"/>
              <w:rPr>
                <w:sz w:val="16"/>
                <w:szCs w:val="16"/>
                <w:color w:val="auto"/>
              </w:rPr>
            </w:pPr>
          </w:p>
        </w:tc>
        <w:tc>
          <w:tcPr>
            <w:tcW w:w="12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212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Other time deposits</w:t>
            </w: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76,633</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647</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3.42 %</w:t>
            </w: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56,703</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506</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3.62 %</w:t>
            </w: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648,261</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3,828</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2.39 %</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628,214</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4,116</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Short-term borrowings</w:t>
            </w:r>
          </w:p>
        </w:tc>
        <w:tc>
          <w:tcPr>
            <w:tcW w:w="220" w:type="dxa"/>
            <w:vAlign w:val="bottom"/>
            <w:tcBorders>
              <w:bottom w:val="single" w:sz="8" w:color="B6B6B6"/>
            </w:tcBorders>
            <w:shd w:val="clear" w:color="auto" w:fill="B6B6B6"/>
          </w:tcPr>
          <w:p>
            <w:pPr>
              <w:spacing w:after="0"/>
              <w:rPr>
                <w:sz w:val="19"/>
                <w:szCs w:val="19"/>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4,067</w:t>
            </w:r>
          </w:p>
        </w:tc>
        <w:tc>
          <w:tcPr>
            <w:tcW w:w="340" w:type="dxa"/>
            <w:vAlign w:val="bottom"/>
            <w:tcBorders>
              <w:bottom w:val="single" w:sz="8" w:color="B6B6B6"/>
            </w:tcBorders>
            <w:shd w:val="clear" w:color="auto" w:fill="B6B6B6"/>
          </w:tcPr>
          <w:p>
            <w:pPr>
              <w:spacing w:after="0"/>
              <w:rPr>
                <w:sz w:val="19"/>
                <w:szCs w:val="19"/>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60</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5.98 %</w:t>
            </w:r>
          </w:p>
        </w:tc>
        <w:tc>
          <w:tcPr>
            <w:tcW w:w="100" w:type="dxa"/>
            <w:vAlign w:val="bottom"/>
            <w:tcBorders>
              <w:bottom w:val="single" w:sz="8" w:color="B6B6B6"/>
            </w:tcBorders>
            <w:shd w:val="clear" w:color="auto" w:fill="B6B6B6"/>
          </w:tcPr>
          <w:p>
            <w:pPr>
              <w:spacing w:after="0"/>
              <w:rPr>
                <w:sz w:val="19"/>
                <w:szCs w:val="19"/>
                <w:color w:val="auto"/>
              </w:rPr>
            </w:pPr>
          </w:p>
        </w:tc>
        <w:tc>
          <w:tcPr>
            <w:tcW w:w="220" w:type="dxa"/>
            <w:vAlign w:val="bottom"/>
            <w:tcBorders>
              <w:bottom w:val="single" w:sz="8" w:color="B6B6B6"/>
            </w:tcBorders>
            <w:shd w:val="clear" w:color="auto" w:fill="B6B6B6"/>
          </w:tcPr>
          <w:p>
            <w:pPr>
              <w:spacing w:after="0"/>
              <w:rPr>
                <w:sz w:val="19"/>
                <w:szCs w:val="19"/>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40" w:type="dxa"/>
            <w:vAlign w:val="bottom"/>
            <w:tcBorders>
              <w:bottom w:val="single" w:sz="8" w:color="B6B6B6"/>
            </w:tcBorders>
            <w:shd w:val="clear" w:color="auto" w:fill="B6B6B6"/>
          </w:tcPr>
          <w:p>
            <w:pPr>
              <w:spacing w:after="0"/>
              <w:rPr>
                <w:sz w:val="19"/>
                <w:szCs w:val="19"/>
                <w:color w:val="auto"/>
              </w:rPr>
            </w:pP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652,328</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3,888</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2.42 %</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628,225</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4,116</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Non-interest bearing liabilities</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Demand deposits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421,702</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405,183</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Accounts and drafts payable</w:t>
            </w: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1,172,102</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6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1,072,013</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32,878</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52,717</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Liabilities of discontinued operations</w:t>
            </w: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6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21,653</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2,279,010</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2,179,791</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244,850</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6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228,615</w:t>
            </w:r>
          </w:p>
        </w:tc>
        <w:tc>
          <w:tcPr>
            <w:tcW w:w="340" w:type="dxa"/>
            <w:vAlign w:val="bottom"/>
            <w:tcBorders>
              <w:bottom w:val="single" w:sz="8" w:color="B6B6B6"/>
            </w:tcBorders>
            <w:shd w:val="clear" w:color="auto" w:fill="B6B6B6"/>
          </w:tcPr>
          <w:p>
            <w:pPr>
              <w:spacing w:after="0"/>
              <w:rPr>
                <w:sz w:val="18"/>
                <w:szCs w:val="18"/>
                <w:color w:val="auto"/>
              </w:rPr>
            </w:pPr>
          </w:p>
        </w:tc>
        <w:tc>
          <w:tcPr>
            <w:tcW w:w="1220" w:type="dxa"/>
            <w:vAlign w:val="bottom"/>
            <w:tcBorders>
              <w:bottom w:val="single" w:sz="8" w:color="B6B6B6"/>
            </w:tcBorders>
            <w:shd w:val="clear" w:color="auto" w:fill="B6B6B6"/>
          </w:tcPr>
          <w:p>
            <w:pPr>
              <w:spacing w:after="0"/>
              <w:rPr>
                <w:sz w:val="18"/>
                <w:szCs w:val="18"/>
                <w:color w:val="auto"/>
              </w:rPr>
            </w:pPr>
          </w:p>
        </w:tc>
        <w:tc>
          <w:tcPr>
            <w:tcW w:w="98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2,523,860</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2,408,406</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220" w:type="dxa"/>
            <w:vAlign w:val="bottom"/>
            <w:tcBorders>
              <w:bottom w:val="single" w:sz="8" w:color="B6B6B6"/>
            </w:tcBorders>
            <w:shd w:val="clear" w:color="auto" w:fill="B6B6B6"/>
          </w:tcPr>
          <w:p>
            <w:pPr>
              <w:spacing w:after="0"/>
              <w:rPr>
                <w:sz w:val="16"/>
                <w:szCs w:val="16"/>
                <w:color w:val="auto"/>
              </w:rPr>
            </w:pPr>
          </w:p>
        </w:tc>
        <w:tc>
          <w:tcPr>
            <w:tcW w:w="980" w:type="dxa"/>
            <w:vAlign w:val="bottom"/>
            <w:tcBorders>
              <w:bottom w:val="single" w:sz="8" w:color="B6B6B6"/>
            </w:tcBorders>
            <w:shd w:val="clear" w:color="auto" w:fill="B6B6B6"/>
          </w:tcPr>
          <w:p>
            <w:pPr>
              <w:spacing w:after="0"/>
              <w:rPr>
                <w:sz w:val="16"/>
                <w:szCs w:val="16"/>
                <w:color w:val="auto"/>
              </w:rPr>
            </w:pPr>
          </w:p>
        </w:tc>
        <w:tc>
          <w:tcPr>
            <w:tcW w:w="34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21,589</w:t>
            </w:r>
          </w:p>
        </w:tc>
        <w:tc>
          <w:tcPr>
            <w:tcW w:w="960" w:type="dxa"/>
            <w:vAlign w:val="bottom"/>
            <w:tcBorders>
              <w:bottom w:val="single" w:sz="8" w:color="B6B6B6"/>
            </w:tcBorders>
            <w:shd w:val="clear" w:color="auto" w:fill="B6B6B6"/>
          </w:tcPr>
          <w:p>
            <w:pPr>
              <w:spacing w:after="0"/>
              <w:rPr>
                <w:sz w:val="16"/>
                <w:szCs w:val="16"/>
                <w:color w:val="auto"/>
              </w:rPr>
            </w:pP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980" w:type="dxa"/>
            <w:vAlign w:val="bottom"/>
            <w:tcBorders>
              <w:bottom w:val="single" w:sz="8" w:color="B6B6B6"/>
            </w:tcBorders>
            <w:shd w:val="clear" w:color="auto" w:fill="B6B6B6"/>
          </w:tcPr>
          <w:p>
            <w:pPr>
              <w:spacing w:after="0"/>
              <w:rPr>
                <w:sz w:val="16"/>
                <w:szCs w:val="16"/>
                <w:color w:val="auto"/>
              </w:rPr>
            </w:pPr>
          </w:p>
        </w:tc>
        <w:tc>
          <w:tcPr>
            <w:tcW w:w="34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B6B6B6"/>
            </w:tcBorders>
            <w:shd w:val="clear" w:color="auto" w:fill="B6B6B6"/>
          </w:tcPr>
          <w:p>
            <w:pPr>
              <w:jc w:val="right"/>
              <w:ind w:right="228"/>
              <w:spacing w:after="0"/>
              <w:rPr>
                <w:sz w:val="20"/>
                <w:szCs w:val="20"/>
                <w:color w:val="auto"/>
              </w:rPr>
            </w:pPr>
            <w:r>
              <w:rPr>
                <w:rFonts w:ascii="Times New Roman" w:cs="Times New Roman" w:eastAsia="Times New Roman" w:hAnsi="Times New Roman"/>
                <w:sz w:val="14"/>
                <w:szCs w:val="14"/>
                <w:color w:val="auto"/>
              </w:rPr>
              <w:t>19,442</w:t>
            </w:r>
          </w:p>
        </w:tc>
        <w:tc>
          <w:tcPr>
            <w:tcW w:w="980" w:type="dxa"/>
            <w:vAlign w:val="bottom"/>
            <w:tcBorders>
              <w:bottom w:val="single" w:sz="8" w:color="B6B6B6"/>
            </w:tcBorders>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margin</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Interest spread</w:t>
            </w: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2.25 %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spacing w:after="0"/>
              <w:rPr>
                <w:sz w:val="17"/>
                <w:szCs w:val="17"/>
                <w:color w:val="auto"/>
              </w:rPr>
            </w:pPr>
          </w:p>
        </w:tc>
        <w:tc>
          <w:tcPr>
            <w:tcW w:w="340" w:type="dxa"/>
            <w:vAlign w:val="bottom"/>
            <w:tcBorders>
              <w:bottom w:val="single" w:sz="8" w:color="B6B6B6"/>
            </w:tcBorders>
            <w:shd w:val="clear" w:color="auto" w:fill="B6B6B6"/>
          </w:tcPr>
          <w:p>
            <w:pPr>
              <w:spacing w:after="0"/>
              <w:rPr>
                <w:sz w:val="17"/>
                <w:szCs w:val="17"/>
                <w:color w:val="auto"/>
              </w:rPr>
            </w:pPr>
          </w:p>
        </w:tc>
        <w:tc>
          <w:tcPr>
            <w:tcW w:w="1220" w:type="dxa"/>
            <w:vAlign w:val="bottom"/>
            <w:tcBorders>
              <w:bottom w:val="single" w:sz="8" w:color="B6B6B6"/>
            </w:tcBorders>
            <w:shd w:val="clear" w:color="auto" w:fill="B6B6B6"/>
          </w:tcPr>
          <w:p>
            <w:pPr>
              <w:spacing w:after="0"/>
              <w:rPr>
                <w:sz w:val="17"/>
                <w:szCs w:val="17"/>
                <w:color w:val="auto"/>
              </w:rPr>
            </w:pPr>
          </w:p>
        </w:tc>
        <w:tc>
          <w:tcPr>
            <w:tcW w:w="98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1.88 %</w:t>
            </w:r>
          </w:p>
        </w:tc>
        <w:tc>
          <w:tcPr>
            <w:tcW w:w="0" w:type="dxa"/>
            <w:vAlign w:val="bottom"/>
          </w:tcPr>
          <w:p>
            <w:pPr>
              <w:spacing w:after="0"/>
              <w:rPr>
                <w:sz w:val="1"/>
                <w:szCs w:val="1"/>
                <w:color w:val="auto"/>
              </w:rPr>
            </w:pPr>
          </w:p>
        </w:tc>
      </w:tr>
      <w:tr>
        <w:trPr>
          <w:trHeight w:val="20"/>
        </w:trPr>
        <w:tc>
          <w:tcPr>
            <w:tcW w:w="3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shown are daily averages.</w:t>
      </w:r>
    </w:p>
    <w:p>
      <w:pPr>
        <w:spacing w:after="0" w:line="27"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on loans includes net loan fees of $102,000 and $367,000 for the first quarter of 2026 and 2025, respectively.</w:t>
      </w:r>
    </w:p>
    <w:p>
      <w:pPr>
        <w:spacing w:after="0" w:line="14"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these computations, yields on investment securities are computed as interest income divided by the average amortized cost of the investments.</w:t>
      </w:r>
    </w:p>
    <w:p>
      <w:pPr>
        <w:spacing w:after="0" w:line="14" w:lineRule="exact"/>
        <w:rPr>
          <w:rFonts w:ascii="Times New Roman" w:cs="Times New Roman" w:eastAsia="Times New Roman" w:hAnsi="Times New Roman"/>
          <w:sz w:val="14"/>
          <w:szCs w:val="14"/>
          <w:color w:val="auto"/>
        </w:rPr>
      </w:pPr>
    </w:p>
    <w:p>
      <w:pPr>
        <w:ind w:left="340" w:right="100" w:hanging="332"/>
        <w:spacing w:after="0" w:line="283" w:lineRule="auto"/>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presented on a tax-equivalent basis assuming a tax rate of 21% for both 2026 and 2025. The tax-equivalent adjustment was approximately $372,000 and $168,000 for the first quarter of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Net Interest Income Changes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changes in interest income and expense between periods due to changes in volume and interest rates. That portion of the change in interest attributable to the combined rate/volume variance has been allocated to rate and volume changes in proportion to the absolute dollar amounts of the change in each.</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First Quarter of 2026 Compared to First Quarter of 2025</w:t>
            </w:r>
          </w:p>
        </w:tc>
        <w:tc>
          <w:tcPr>
            <w:tcW w:w="0" w:type="dxa"/>
            <w:vAlign w:val="bottom"/>
          </w:tcPr>
          <w:p>
            <w:pPr>
              <w:spacing w:after="0"/>
              <w:rPr>
                <w:sz w:val="1"/>
                <w:szCs w:val="1"/>
                <w:color w:val="auto"/>
              </w:rPr>
            </w:pPr>
          </w:p>
        </w:tc>
      </w:tr>
      <w:tr>
        <w:trPr>
          <w:trHeight w:val="27"/>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Rate</w:t>
            </w:r>
          </w:p>
        </w:tc>
        <w:tc>
          <w:tcPr>
            <w:tcW w:w="5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7"/>
        </w:trPr>
        <w:tc>
          <w:tcPr>
            <w:tcW w:w="66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Increase (decrease) in interest income:</w:t>
            </w:r>
          </w:p>
        </w:tc>
        <w:tc>
          <w:tcPr>
            <w:tcW w:w="100" w:type="dxa"/>
            <w:vAlign w:val="bottom"/>
            <w:shd w:val="clear" w:color="auto" w:fill="B6B6B6"/>
          </w:tcPr>
          <w:p>
            <w:pPr>
              <w:spacing w:after="0"/>
              <w:rPr>
                <w:sz w:val="22"/>
                <w:szCs w:val="22"/>
                <w:color w:val="auto"/>
              </w:rPr>
            </w:pPr>
          </w:p>
        </w:tc>
        <w:tc>
          <w:tcPr>
            <w:tcW w:w="1420" w:type="dxa"/>
            <w:vAlign w:val="bottom"/>
            <w:shd w:val="clear" w:color="auto" w:fill="B6B6B6"/>
          </w:tcPr>
          <w:p>
            <w:pPr>
              <w:spacing w:after="0"/>
              <w:rPr>
                <w:sz w:val="22"/>
                <w:szCs w:val="22"/>
                <w:color w:val="auto"/>
              </w:rPr>
            </w:pPr>
          </w:p>
        </w:tc>
        <w:tc>
          <w:tcPr>
            <w:tcW w:w="1000" w:type="dxa"/>
            <w:vAlign w:val="bottom"/>
            <w:shd w:val="clear" w:color="auto" w:fill="B6B6B6"/>
          </w:tcPr>
          <w:p>
            <w:pPr>
              <w:spacing w:after="0"/>
              <w:rPr>
                <w:sz w:val="22"/>
                <w:szCs w:val="22"/>
                <w:color w:val="auto"/>
              </w:rPr>
            </w:pPr>
          </w:p>
        </w:tc>
        <w:tc>
          <w:tcPr>
            <w:tcW w:w="56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535</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56"/>
        </w:trPr>
        <w:tc>
          <w:tcPr>
            <w:tcW w:w="664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100" w:type="dxa"/>
            <w:vAlign w:val="bottom"/>
            <w:shd w:val="clear" w:color="auto" w:fill="B6B6B6"/>
          </w:tcPr>
          <w:p>
            <w:pPr>
              <w:spacing w:after="0"/>
              <w:rPr>
                <w:sz w:val="22"/>
                <w:szCs w:val="22"/>
                <w:color w:val="auto"/>
              </w:rPr>
            </w:pPr>
          </w:p>
        </w:tc>
        <w:tc>
          <w:tcPr>
            <w:tcW w:w="1420" w:type="dxa"/>
            <w:vAlign w:val="bottom"/>
            <w:shd w:val="clear" w:color="auto" w:fill="B6B6B6"/>
          </w:tcPr>
          <w:p>
            <w:pPr>
              <w:spacing w:after="0"/>
              <w:rPr>
                <w:sz w:val="22"/>
                <w:szCs w:val="22"/>
                <w:color w:val="auto"/>
              </w:rPr>
            </w:pPr>
          </w:p>
        </w:tc>
        <w:tc>
          <w:tcPr>
            <w:tcW w:w="1000" w:type="dxa"/>
            <w:vAlign w:val="bottom"/>
            <w:shd w:val="clear" w:color="auto" w:fill="B6B6B6"/>
          </w:tcPr>
          <w:p>
            <w:pPr>
              <w:spacing w:after="0"/>
              <w:rPr>
                <w:sz w:val="22"/>
                <w:szCs w:val="22"/>
                <w:color w:val="auto"/>
              </w:rPr>
            </w:pPr>
          </w:p>
        </w:tc>
        <w:tc>
          <w:tcPr>
            <w:tcW w:w="56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Taxable</w:t>
            </w:r>
          </w:p>
        </w:tc>
        <w:tc>
          <w:tcPr>
            <w:tcW w:w="1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1,158</w:t>
            </w:r>
          </w:p>
        </w:tc>
        <w:tc>
          <w:tcPr>
            <w:tcW w:w="10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923</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0" w:type="dxa"/>
            <w:vAlign w:val="bottom"/>
          </w:tcPr>
          <w:p>
            <w:pPr>
              <w:spacing w:after="0"/>
              <w:rPr>
                <w:sz w:val="1"/>
                <w:szCs w:val="1"/>
                <w:color w:val="auto"/>
              </w:rPr>
            </w:pPr>
          </w:p>
        </w:tc>
      </w:tr>
      <w:tr>
        <w:trPr>
          <w:trHeight w:val="263"/>
        </w:trPr>
        <w:tc>
          <w:tcPr>
            <w:tcW w:w="6640" w:type="dxa"/>
            <w:vAlign w:val="bottom"/>
            <w:shd w:val="clear" w:color="auto" w:fill="B6B6B6"/>
          </w:tcPr>
          <w:p>
            <w:pPr>
              <w:ind w:left="360"/>
              <w:spacing w:after="0" w:line="263"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23"/>
                <w:szCs w:val="23"/>
                <w:color w:val="auto"/>
                <w:vertAlign w:val="superscript"/>
              </w:rPr>
              <w:t>2</w:t>
            </w:r>
          </w:p>
        </w:tc>
        <w:tc>
          <w:tcPr>
            <w:tcW w:w="100" w:type="dxa"/>
            <w:vAlign w:val="bottom"/>
            <w:shd w:val="clear" w:color="auto" w:fill="B6B6B6"/>
          </w:tcPr>
          <w:p>
            <w:pPr>
              <w:spacing w:after="0"/>
              <w:rPr>
                <w:sz w:val="22"/>
                <w:szCs w:val="22"/>
                <w:color w:val="auto"/>
              </w:rPr>
            </w:pPr>
          </w:p>
        </w:tc>
        <w:tc>
          <w:tcPr>
            <w:tcW w:w="14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440</w:t>
            </w:r>
          </w:p>
        </w:tc>
        <w:tc>
          <w:tcPr>
            <w:tcW w:w="1000" w:type="dxa"/>
            <w:vAlign w:val="bottom"/>
            <w:shd w:val="clear" w:color="auto" w:fill="B6B6B6"/>
          </w:tcPr>
          <w:p>
            <w:pPr>
              <w:spacing w:after="0"/>
              <w:rPr>
                <w:sz w:val="22"/>
                <w:szCs w:val="22"/>
                <w:color w:val="auto"/>
              </w:rPr>
            </w:pPr>
          </w:p>
        </w:tc>
        <w:tc>
          <w:tcPr>
            <w:tcW w:w="5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532</w:t>
            </w:r>
          </w:p>
        </w:tc>
        <w:tc>
          <w:tcPr>
            <w:tcW w:w="38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100" w:type="dxa"/>
            <w:vAlign w:val="bottom"/>
            <w:tcBorders>
              <w:bottom w:val="single" w:sz="8" w:color="auto"/>
            </w:tcBorders>
            <w:shd w:val="clear" w:color="auto" w:fill="B6B6B6"/>
          </w:tcPr>
          <w:p>
            <w:pPr>
              <w:spacing w:after="0"/>
              <w:rPr>
                <w:sz w:val="21"/>
                <w:szCs w:val="21"/>
                <w:color w:val="auto"/>
              </w:rPr>
            </w:pPr>
          </w:p>
        </w:tc>
        <w:tc>
          <w:tcPr>
            <w:tcW w:w="14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573</w:t>
            </w:r>
          </w:p>
        </w:tc>
        <w:tc>
          <w:tcPr>
            <w:tcW w:w="1000" w:type="dxa"/>
            <w:vAlign w:val="bottom"/>
            <w:tcBorders>
              <w:bottom w:val="single" w:sz="8" w:color="auto"/>
            </w:tcBorders>
            <w:shd w:val="clear" w:color="auto" w:fill="B6B6B6"/>
          </w:tcPr>
          <w:p>
            <w:pPr>
              <w:spacing w:after="0"/>
              <w:rPr>
                <w:sz w:val="21"/>
                <w:szCs w:val="21"/>
                <w:color w:val="auto"/>
              </w:rPr>
            </w:pPr>
          </w:p>
        </w:tc>
        <w:tc>
          <w:tcPr>
            <w:tcW w:w="56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1,346</w:t>
            </w:r>
          </w:p>
        </w:tc>
        <w:tc>
          <w:tcPr>
            <w:tcW w:w="380" w:type="dxa"/>
            <w:vAlign w:val="bottom"/>
            <w:tcBorders>
              <w:bottom w:val="single" w:sz="8" w:color="auto"/>
            </w:tcBorders>
            <w:shd w:val="clear" w:color="auto" w:fill="B6B6B6"/>
          </w:tcPr>
          <w:p>
            <w:pPr>
              <w:spacing w:after="0"/>
              <w:rPr>
                <w:sz w:val="21"/>
                <w:szCs w:val="21"/>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0" w:type="dxa"/>
            <w:vAlign w:val="bottom"/>
          </w:tcPr>
          <w:p>
            <w:pPr>
              <w:spacing w:after="0"/>
              <w:rPr>
                <w:sz w:val="1"/>
                <w:szCs w:val="1"/>
                <w:color w:val="auto"/>
              </w:rPr>
            </w:pPr>
          </w:p>
        </w:tc>
      </w:tr>
      <w:tr>
        <w:trPr>
          <w:trHeight w:val="25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interest expense:</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4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100" w:type="dxa"/>
            <w:vAlign w:val="bottom"/>
            <w:shd w:val="clear" w:color="auto" w:fill="B6B6B6"/>
          </w:tcPr>
          <w:p>
            <w:pPr>
              <w:spacing w:after="0"/>
              <w:rPr>
                <w:sz w:val="22"/>
                <w:szCs w:val="22"/>
                <w:color w:val="auto"/>
              </w:rPr>
            </w:pPr>
          </w:p>
        </w:tc>
        <w:tc>
          <w:tcPr>
            <w:tcW w:w="14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0" w:type="dxa"/>
            <w:vAlign w:val="bottom"/>
            <w:shd w:val="clear" w:color="auto" w:fill="B6B6B6"/>
          </w:tcPr>
          <w:p>
            <w:pPr>
              <w:spacing w:after="0"/>
              <w:rPr>
                <w:sz w:val="22"/>
                <w:szCs w:val="22"/>
                <w:color w:val="auto"/>
              </w:rPr>
            </w:pPr>
          </w:p>
        </w:tc>
        <w:tc>
          <w:tcPr>
            <w:tcW w:w="5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38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5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Savings deposits</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63"/>
        </w:trPr>
        <w:tc>
          <w:tcPr>
            <w:tcW w:w="664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Time deposits &gt;=$100</w:t>
            </w:r>
          </w:p>
        </w:tc>
        <w:tc>
          <w:tcPr>
            <w:tcW w:w="100" w:type="dxa"/>
            <w:vAlign w:val="bottom"/>
            <w:shd w:val="clear" w:color="auto" w:fill="B6B6B6"/>
          </w:tcPr>
          <w:p>
            <w:pPr>
              <w:spacing w:after="0"/>
              <w:rPr>
                <w:sz w:val="22"/>
                <w:szCs w:val="22"/>
                <w:color w:val="auto"/>
              </w:rPr>
            </w:pPr>
          </w:p>
        </w:tc>
        <w:tc>
          <w:tcPr>
            <w:tcW w:w="14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000" w:type="dxa"/>
            <w:vAlign w:val="bottom"/>
            <w:shd w:val="clear" w:color="auto" w:fill="B6B6B6"/>
          </w:tcPr>
          <w:p>
            <w:pPr>
              <w:spacing w:after="0"/>
              <w:rPr>
                <w:sz w:val="22"/>
                <w:szCs w:val="22"/>
                <w:color w:val="auto"/>
              </w:rPr>
            </w:pPr>
          </w:p>
        </w:tc>
        <w:tc>
          <w:tcPr>
            <w:tcW w:w="5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50"/>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time deposits</w:t>
            </w:r>
          </w:p>
        </w:tc>
        <w:tc>
          <w:tcPr>
            <w:tcW w:w="1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57"/>
        </w:trPr>
        <w:tc>
          <w:tcPr>
            <w:tcW w:w="6640" w:type="dxa"/>
            <w:vAlign w:val="bottom"/>
            <w:tcBorders>
              <w:bottom w:val="single" w:sz="8" w:color="auto"/>
            </w:tcBorders>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00" w:type="dxa"/>
            <w:vAlign w:val="bottom"/>
            <w:tcBorders>
              <w:bottom w:val="single" w:sz="8" w:color="auto"/>
            </w:tcBorders>
            <w:shd w:val="clear" w:color="auto" w:fill="B6B6B6"/>
          </w:tcPr>
          <w:p>
            <w:pPr>
              <w:spacing w:after="0"/>
              <w:rPr>
                <w:sz w:val="22"/>
                <w:szCs w:val="22"/>
                <w:color w:val="auto"/>
              </w:rPr>
            </w:pPr>
          </w:p>
        </w:tc>
        <w:tc>
          <w:tcPr>
            <w:tcW w:w="14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B6B6B6"/>
          </w:tcPr>
          <w:p>
            <w:pPr>
              <w:spacing w:after="0"/>
              <w:rPr>
                <w:sz w:val="22"/>
                <w:szCs w:val="22"/>
                <w:color w:val="auto"/>
              </w:rPr>
            </w:pPr>
          </w:p>
        </w:tc>
        <w:tc>
          <w:tcPr>
            <w:tcW w:w="56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195</w:t>
            </w:r>
          </w:p>
        </w:tc>
        <w:tc>
          <w:tcPr>
            <w:tcW w:w="10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378</w:t>
            </w:r>
          </w:p>
        </w:tc>
        <w:tc>
          <w:tcPr>
            <w:tcW w:w="1000" w:type="dxa"/>
            <w:vAlign w:val="bottom"/>
            <w:tcBorders>
              <w:bottom w:val="single" w:sz="8" w:color="auto"/>
            </w:tcBorders>
            <w:shd w:val="clear" w:color="auto" w:fill="B6B6B6"/>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1,769</w:t>
            </w:r>
          </w:p>
        </w:tc>
        <w:tc>
          <w:tcPr>
            <w:tcW w:w="38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includes net loan fees.</w:t>
      </w:r>
    </w:p>
    <w:p>
      <w:pPr>
        <w:spacing w:after="0" w:line="17"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presented on a tax-equivalent basis assuming a tax rate of 21% for the three months ended March 31, 2026 and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and Allowance for Credit Losses and Allowance for Unfunded Commitments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 provision for credit losses and off-balance sheet credit exposures of $61,000 and $905,000 for the first quarter of 2026 and 2025, respectively. The amount of the provision for (release of) credit losses is derived from the Company’s quarterly Current Expected Credit Loss (“CECL”) model. The amount of the provision for (release of) credit losses will fluctuate as determined by these quarterly analyses. The provision for credit losses in the first quarter of 2026 was driven by the increase in total loans of $27.5 million, or 2.6%, as compared to December 31, 2025.</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experienced no loan charge-offs in the first quarter of 2026 or 2025. The ACL was $13.9 million at March 31, 2026 and $13.6 million at December 31, 2025. The ACL represented 1.27% of outstanding loans at March 31, 2026 and 1.28% of outstanding loans at December 31, 2025. The allowance for unfunded commitments was $216,000 at March 31, 2026 and $419,000 at December 31, 2025. There were $3.1 million of nonperforming loans outstanding at March 31, 2026 and $7.0 million at December 31, 2025. The Company has a specific allowance for credit losses of $101,000 allocated to its non-accrual loans at March 31, 2026.</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ACL has been established and is maintained to estimate the lifetime expected credit losses in the loan portfolio. An ongoing assessment is performed to determine if the balance is adequate. Charges or credits are made to expense based on changes in the economic forecast, qualitative risk factors, loan volume, and individual loans. For loans that are individually evaluated, the Company uses two impairment measurement methods: 1) the present value of expected future cash flows and 2) collateral value.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utilizes ratio analyses to evaluate the overall reasonableness of the ACL compared to its peers and required levels of regulatory capital. Federal and state regulatory agencies review the Company’s methodology for maintaining the ACL. These agencies may require the Company to adjust the ACL based on their judgments and interpretations about information available to them at the time of their examinations.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Credit Loss Experience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on the Company's provision for (release of) credit losses and analysis of the ACL:</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First Quarter of</w:t>
            </w:r>
          </w:p>
        </w:tc>
        <w:tc>
          <w:tcPr>
            <w:tcW w:w="102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433"/>
        </w:trPr>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7"/>
        </w:trPr>
        <w:tc>
          <w:tcPr>
            <w:tcW w:w="79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beginning of period</w:t>
            </w:r>
          </w:p>
        </w:tc>
        <w:tc>
          <w:tcPr>
            <w:tcW w:w="36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13,597</w:t>
            </w:r>
          </w:p>
        </w:tc>
        <w:tc>
          <w:tcPr>
            <w:tcW w:w="660" w:type="dxa"/>
            <w:vAlign w:val="bottom"/>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13,395</w:t>
            </w:r>
          </w:p>
        </w:tc>
      </w:tr>
      <w:tr>
        <w:trPr>
          <w:trHeight w:val="250"/>
        </w:trPr>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264</w:t>
            </w:r>
          </w:p>
        </w:tc>
        <w:tc>
          <w:tcPr>
            <w:tcW w:w="6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891</w:t>
            </w:r>
          </w:p>
        </w:tc>
      </w:tr>
      <w:tr>
        <w:trPr>
          <w:trHeight w:val="250"/>
        </w:trPr>
        <w:tc>
          <w:tcPr>
            <w:tcW w:w="790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end of period</w:t>
            </w:r>
          </w:p>
        </w:tc>
        <w:tc>
          <w:tcPr>
            <w:tcW w:w="36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13,861</w:t>
            </w:r>
          </w:p>
        </w:tc>
        <w:tc>
          <w:tcPr>
            <w:tcW w:w="660" w:type="dxa"/>
            <w:vAlign w:val="bottom"/>
            <w:tcBorders>
              <w:bottom w:val="single" w:sz="8" w:color="auto"/>
            </w:tcBorders>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14,286</w:t>
            </w:r>
          </w:p>
        </w:tc>
      </w:tr>
      <w:tr>
        <w:trPr>
          <w:trHeight w:val="148"/>
        </w:trPr>
        <w:tc>
          <w:tcPr>
            <w:tcW w:w="7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57"/>
        </w:trPr>
        <w:tc>
          <w:tcPr>
            <w:tcW w:w="79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Allowance for unfunded commitments at beginning of period</w:t>
            </w:r>
          </w:p>
        </w:tc>
        <w:tc>
          <w:tcPr>
            <w:tcW w:w="36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419</w:t>
            </w:r>
          </w:p>
        </w:tc>
        <w:tc>
          <w:tcPr>
            <w:tcW w:w="660" w:type="dxa"/>
            <w:vAlign w:val="bottom"/>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273</w:t>
            </w:r>
          </w:p>
        </w:tc>
      </w:tr>
      <w:tr>
        <w:trPr>
          <w:trHeight w:val="250"/>
        </w:trPr>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(Release of) provision for credit losses</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(203)</w:t>
            </w:r>
          </w:p>
        </w:tc>
        <w:tc>
          <w:tcPr>
            <w:tcW w:w="6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r>
      <w:tr>
        <w:trPr>
          <w:trHeight w:val="250"/>
        </w:trPr>
        <w:tc>
          <w:tcPr>
            <w:tcW w:w="790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Allowance for unfunded commitments at end of period</w:t>
            </w:r>
          </w:p>
        </w:tc>
        <w:tc>
          <w:tcPr>
            <w:tcW w:w="36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216</w:t>
            </w:r>
          </w:p>
        </w:tc>
        <w:tc>
          <w:tcPr>
            <w:tcW w:w="660" w:type="dxa"/>
            <w:vAlign w:val="bottom"/>
            <w:tcBorders>
              <w:bottom w:val="single" w:sz="8" w:color="auto"/>
            </w:tcBorders>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287</w:t>
            </w:r>
          </w:p>
        </w:tc>
      </w:tr>
      <w:tr>
        <w:trPr>
          <w:trHeight w:val="148"/>
        </w:trPr>
        <w:tc>
          <w:tcPr>
            <w:tcW w:w="7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57"/>
        </w:trPr>
        <w:tc>
          <w:tcPr>
            <w:tcW w:w="79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Loans outstanding:</w:t>
            </w:r>
          </w:p>
        </w:tc>
        <w:tc>
          <w:tcPr>
            <w:tcW w:w="360" w:type="dxa"/>
            <w:vAlign w:val="bottom"/>
            <w:shd w:val="clear" w:color="auto" w:fill="B6B6B6"/>
          </w:tcPr>
          <w:p>
            <w:pPr>
              <w:spacing w:after="0"/>
              <w:rPr>
                <w:sz w:val="22"/>
                <w:szCs w:val="22"/>
                <w:color w:val="auto"/>
              </w:rPr>
            </w:pPr>
          </w:p>
        </w:tc>
        <w:tc>
          <w:tcPr>
            <w:tcW w:w="1300" w:type="dxa"/>
            <w:vAlign w:val="bottom"/>
            <w:shd w:val="clear" w:color="auto" w:fill="B6B6B6"/>
          </w:tcPr>
          <w:p>
            <w:pPr>
              <w:spacing w:after="0"/>
              <w:rPr>
                <w:sz w:val="22"/>
                <w:szCs w:val="22"/>
                <w:color w:val="auto"/>
              </w:rPr>
            </w:pPr>
          </w:p>
        </w:tc>
        <w:tc>
          <w:tcPr>
            <w:tcW w:w="6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r>
      <w:tr>
        <w:trPr>
          <w:trHeight w:val="250"/>
        </w:trPr>
        <w:tc>
          <w:tcPr>
            <w:tcW w:w="7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Average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1,066,371</w:t>
            </w:r>
          </w:p>
        </w:tc>
        <w:tc>
          <w:tcPr>
            <w:tcW w:w="6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1,109,526</w:t>
            </w:r>
          </w:p>
        </w:tc>
      </w:tr>
      <w:tr>
        <w:trPr>
          <w:trHeight w:val="263"/>
        </w:trPr>
        <w:tc>
          <w:tcPr>
            <w:tcW w:w="7900" w:type="dxa"/>
            <w:vAlign w:val="bottom"/>
            <w:shd w:val="clear" w:color="auto" w:fill="B6B6B6"/>
          </w:tcPr>
          <w:p>
            <w:pPr>
              <w:ind w:left="440"/>
              <w:spacing w:after="0"/>
              <w:rPr>
                <w:sz w:val="20"/>
                <w:szCs w:val="20"/>
                <w:color w:val="auto"/>
              </w:rPr>
            </w:pPr>
            <w:r>
              <w:rPr>
                <w:rFonts w:ascii="Times New Roman" w:cs="Times New Roman" w:eastAsia="Times New Roman" w:hAnsi="Times New Roman"/>
                <w:sz w:val="18"/>
                <w:szCs w:val="18"/>
                <w:color w:val="auto"/>
              </w:rPr>
              <w:t>March 31</w:t>
            </w:r>
          </w:p>
        </w:tc>
        <w:tc>
          <w:tcPr>
            <w:tcW w:w="36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1,088,730</w:t>
            </w:r>
          </w:p>
        </w:tc>
        <w:tc>
          <w:tcPr>
            <w:tcW w:w="660" w:type="dxa"/>
            <w:vAlign w:val="bottom"/>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1,141,874</w:t>
            </w:r>
          </w:p>
        </w:tc>
      </w:tr>
      <w:tr>
        <w:trPr>
          <w:trHeight w:val="250"/>
        </w:trPr>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Ratio of allowance for credit losses to loans outstanding at March 31</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6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1.25 %</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operating expenses for the first quarter of 2026 increased $2.7 million, or 7.6%, as compared to the first quarter of 2025. The following table details the components of operating expenses: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First Quarter of</w:t>
            </w:r>
          </w:p>
        </w:tc>
      </w:tr>
      <w:tr>
        <w:trPr>
          <w:trHeight w:val="237"/>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Salaries and commissions</w:t>
            </w:r>
          </w:p>
        </w:tc>
        <w:tc>
          <w:tcPr>
            <w:tcW w:w="34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19,268</w:t>
            </w:r>
          </w:p>
        </w:tc>
        <w:tc>
          <w:tcPr>
            <w:tcW w:w="42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19,663</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1,439</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r>
      <w:tr>
        <w:trPr>
          <w:trHeight w:val="229"/>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Employee profit sharing</w:t>
            </w:r>
          </w:p>
        </w:tc>
        <w:tc>
          <w:tcPr>
            <w:tcW w:w="340" w:type="dxa"/>
            <w:vAlign w:val="bottom"/>
            <w:shd w:val="clear" w:color="auto" w:fill="B6B6B6"/>
          </w:tcPr>
          <w:p>
            <w:pPr>
              <w:spacing w:after="0"/>
              <w:rPr>
                <w:sz w:val="19"/>
                <w:szCs w:val="19"/>
                <w:color w:val="auto"/>
              </w:rPr>
            </w:pP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1,634</w:t>
            </w:r>
          </w:p>
        </w:tc>
        <w:tc>
          <w:tcPr>
            <w:tcW w:w="420" w:type="dxa"/>
            <w:vAlign w:val="bottom"/>
            <w:shd w:val="clear" w:color="auto" w:fill="B6B6B6"/>
          </w:tcPr>
          <w:p>
            <w:pPr>
              <w:spacing w:after="0"/>
              <w:rPr>
                <w:sz w:val="19"/>
                <w:szCs w:val="19"/>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3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benefits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4,938</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4,873</w:t>
            </w:r>
          </w:p>
        </w:tc>
      </w:tr>
      <w:tr>
        <w:trPr>
          <w:trHeight w:val="223"/>
        </w:trPr>
        <w:tc>
          <w:tcPr>
            <w:tcW w:w="818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8"/>
                <w:szCs w:val="18"/>
                <w:color w:val="auto"/>
              </w:rPr>
              <w:t>Personnel</w:t>
            </w:r>
          </w:p>
        </w:tc>
        <w:tc>
          <w:tcPr>
            <w:tcW w:w="34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27,279</w:t>
            </w:r>
          </w:p>
        </w:tc>
        <w:tc>
          <w:tcPr>
            <w:tcW w:w="42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27,279</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3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681</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30"/>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340" w:type="dxa"/>
            <w:vAlign w:val="bottom"/>
            <w:shd w:val="clear" w:color="auto" w:fill="B6B6B6"/>
          </w:tcPr>
          <w:p>
            <w:pPr>
              <w:spacing w:after="0"/>
              <w:rPr>
                <w:sz w:val="19"/>
                <w:szCs w:val="19"/>
                <w:color w:val="auto"/>
              </w:rPr>
            </w:pP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2,432</w:t>
            </w:r>
          </w:p>
        </w:tc>
        <w:tc>
          <w:tcPr>
            <w:tcW w:w="420" w:type="dxa"/>
            <w:vAlign w:val="bottom"/>
            <w:shd w:val="clear" w:color="auto" w:fill="B6B6B6"/>
          </w:tcPr>
          <w:p>
            <w:pPr>
              <w:spacing w:after="0"/>
              <w:rPr>
                <w:sz w:val="19"/>
                <w:szCs w:val="19"/>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2,294</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recovery</w:t>
            </w:r>
          </w:p>
        </w:tc>
        <w:tc>
          <w:tcPr>
            <w:tcW w:w="3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shd w:val="clear" w:color="auto" w:fill="B6B6B6"/>
          </w:tcPr>
          <w:p>
            <w:pPr>
              <w:spacing w:after="0"/>
              <w:rPr>
                <w:sz w:val="19"/>
                <w:szCs w:val="19"/>
                <w:color w:val="auto"/>
              </w:rPr>
            </w:pP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293</w:t>
            </w:r>
          </w:p>
        </w:tc>
        <w:tc>
          <w:tcPr>
            <w:tcW w:w="420" w:type="dxa"/>
            <w:vAlign w:val="bottom"/>
            <w:shd w:val="clear" w:color="auto" w:fill="B6B6B6"/>
          </w:tcPr>
          <w:p>
            <w:pPr>
              <w:spacing w:after="0"/>
              <w:rPr>
                <w:sz w:val="19"/>
                <w:szCs w:val="19"/>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3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7,533</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6,943</w:t>
            </w:r>
          </w:p>
        </w:tc>
      </w:tr>
      <w:tr>
        <w:trPr>
          <w:trHeight w:val="223"/>
        </w:trPr>
        <w:tc>
          <w:tcPr>
            <w:tcW w:w="81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operating expense</w:t>
            </w:r>
          </w:p>
        </w:tc>
        <w:tc>
          <w:tcPr>
            <w:tcW w:w="34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38,218</w:t>
            </w:r>
          </w:p>
        </w:tc>
        <w:tc>
          <w:tcPr>
            <w:tcW w:w="42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35,530</w:t>
            </w: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Salaries and commissions decreased $395,000, or 2.0%, as a result of a decrease in average full-time equivalent employees ("FTEs") of 7.9% due to automation and the ongoing consolidation within the Company's Facilities division, partially offset by merit increases. Share-based compensation and employee profit sharing increased $198,000 and $132,000, respectively, due to the improvement in net income from continuing operations. Other benefits increased $65,000, or 1.3%, due to higher health insurance costs, partially offset by the decline in average FTEs.</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Equipment expense increased $138,000, primarily due to an increase in depreciation expense on software related to recently completed technology initiatives.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a bad debt recovery of $2.0 million during the first quarter of 2025 related to a settlement agreement with a third party.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from Discontinued Operations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682"/>
        </w:trPr>
        <w:tc>
          <w:tcPr>
            <w:tcW w:w="65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First Quarter of</w:t>
            </w:r>
          </w:p>
        </w:tc>
        <w:tc>
          <w:tcPr>
            <w:tcW w:w="1480" w:type="dxa"/>
            <w:vAlign w:val="bottom"/>
            <w:tcBorders>
              <w:bottom w:val="single" w:sz="8" w:color="auto"/>
            </w:tcBorders>
          </w:tcPr>
          <w:p>
            <w:pPr>
              <w:spacing w:after="0"/>
              <w:rPr>
                <w:sz w:val="24"/>
                <w:szCs w:val="24"/>
                <w:color w:val="auto"/>
              </w:rPr>
            </w:pPr>
          </w:p>
        </w:tc>
      </w:tr>
      <w:tr>
        <w:trPr>
          <w:trHeight w:val="250"/>
        </w:trPr>
        <w:tc>
          <w:tcPr>
            <w:tcW w:w="6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7"/>
        </w:trPr>
        <w:tc>
          <w:tcPr>
            <w:tcW w:w="65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34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B6B6B6"/>
          </w:tcPr>
          <w:p>
            <w:pPr>
              <w:jc w:val="right"/>
              <w:ind w:right="210"/>
              <w:spacing w:after="0"/>
              <w:rPr>
                <w:sz w:val="20"/>
                <w:szCs w:val="20"/>
                <w:color w:val="auto"/>
              </w:rPr>
            </w:pPr>
            <w:r>
              <w:rPr>
                <w:rFonts w:ascii="Times New Roman" w:cs="Times New Roman" w:eastAsia="Times New Roman" w:hAnsi="Times New Roman"/>
                <w:sz w:val="18"/>
                <w:szCs w:val="18"/>
                <w:color w:val="auto"/>
              </w:rPr>
              <w:t>3,823</w:t>
            </w:r>
          </w:p>
        </w:tc>
        <w:tc>
          <w:tcPr>
            <w:tcW w:w="14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57"/>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413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56"/>
        </w:trPr>
        <w:tc>
          <w:tcPr>
            <w:tcW w:w="650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fees</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733</w:t>
            </w:r>
          </w:p>
        </w:tc>
        <w:tc>
          <w:tcPr>
            <w:tcW w:w="220" w:type="dxa"/>
            <w:vAlign w:val="bottom"/>
            <w:tcBorders>
              <w:bottom w:val="single" w:sz="8" w:color="auto"/>
            </w:tcBorders>
            <w:shd w:val="clear" w:color="auto" w:fill="B6B6B6"/>
          </w:tcPr>
          <w:p>
            <w:pPr>
              <w:spacing w:after="0"/>
              <w:rPr>
                <w:sz w:val="22"/>
                <w:szCs w:val="22"/>
                <w:color w:val="auto"/>
              </w:rPr>
            </w:pPr>
          </w:p>
        </w:tc>
        <w:tc>
          <w:tcPr>
            <w:tcW w:w="1560" w:type="dxa"/>
            <w:vAlign w:val="bottom"/>
            <w:tcBorders>
              <w:bottom w:val="single" w:sz="8" w:color="auto"/>
            </w:tcBorders>
            <w:shd w:val="clear" w:color="auto" w:fill="B6B6B6"/>
          </w:tcPr>
          <w:p>
            <w:pPr>
              <w:jc w:val="right"/>
              <w:ind w:right="210"/>
              <w:spacing w:after="0"/>
              <w:rPr>
                <w:sz w:val="20"/>
                <w:szCs w:val="20"/>
                <w:color w:val="auto"/>
              </w:rPr>
            </w:pPr>
            <w:r>
              <w:rPr>
                <w:rFonts w:ascii="Times New Roman" w:cs="Times New Roman" w:eastAsia="Times New Roman" w:hAnsi="Times New Roman"/>
                <w:sz w:val="18"/>
                <w:szCs w:val="18"/>
                <w:color w:val="auto"/>
              </w:rPr>
              <w:t>382</w:t>
            </w: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91.9 %</w:t>
            </w: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733</w:t>
            </w:r>
          </w:p>
        </w:tc>
        <w:tc>
          <w:tcPr>
            <w:tcW w:w="220" w:type="dxa"/>
            <w:vAlign w:val="bottom"/>
          </w:tcPr>
          <w:p>
            <w:pPr>
              <w:spacing w:after="0"/>
              <w:rPr>
                <w:sz w:val="21"/>
                <w:szCs w:val="21"/>
                <w:color w:val="auto"/>
              </w:rPr>
            </w:pPr>
          </w:p>
        </w:tc>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4,618</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63"/>
        </w:trPr>
        <w:tc>
          <w:tcPr>
            <w:tcW w:w="650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609</w:t>
            </w:r>
          </w:p>
        </w:tc>
        <w:tc>
          <w:tcPr>
            <w:tcW w:w="220" w:type="dxa"/>
            <w:vAlign w:val="bottom"/>
            <w:tcBorders>
              <w:bottom w:val="single" w:sz="8" w:color="auto"/>
            </w:tcBorders>
            <w:shd w:val="clear" w:color="auto" w:fill="B6B6B6"/>
          </w:tcPr>
          <w:p>
            <w:pPr>
              <w:spacing w:after="0"/>
              <w:rPr>
                <w:sz w:val="22"/>
                <w:szCs w:val="22"/>
                <w:color w:val="auto"/>
              </w:rPr>
            </w:pPr>
          </w:p>
        </w:tc>
        <w:tc>
          <w:tcPr>
            <w:tcW w:w="1560" w:type="dxa"/>
            <w:vAlign w:val="bottom"/>
            <w:tcBorders>
              <w:bottom w:val="single" w:sz="8" w:color="auto"/>
            </w:tcBorders>
            <w:shd w:val="clear" w:color="auto" w:fill="B6B6B6"/>
          </w:tcPr>
          <w:p>
            <w:pPr>
              <w:jc w:val="right"/>
              <w:ind w:right="210"/>
              <w:spacing w:after="0"/>
              <w:rPr>
                <w:sz w:val="20"/>
                <w:szCs w:val="20"/>
                <w:color w:val="auto"/>
              </w:rPr>
            </w:pPr>
            <w:r>
              <w:rPr>
                <w:rFonts w:ascii="Times New Roman" w:cs="Times New Roman" w:eastAsia="Times New Roman" w:hAnsi="Times New Roman"/>
                <w:sz w:val="18"/>
                <w:szCs w:val="18"/>
                <w:color w:val="auto"/>
              </w:rPr>
              <w:t>4,090</w:t>
            </w: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4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tcPr>
          <w:p>
            <w:pPr>
              <w:spacing w:after="0"/>
              <w:rPr>
                <w:sz w:val="21"/>
                <w:szCs w:val="21"/>
                <w:color w:val="auto"/>
              </w:rPr>
            </w:pPr>
          </w:p>
        </w:tc>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528</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63"/>
        </w:trPr>
        <w:tc>
          <w:tcPr>
            <w:tcW w:w="650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auto"/>
            </w:tcBorders>
            <w:shd w:val="clear" w:color="auto" w:fill="B6B6B6"/>
          </w:tcPr>
          <w:p>
            <w:pPr>
              <w:spacing w:after="0"/>
              <w:rPr>
                <w:sz w:val="22"/>
                <w:szCs w:val="22"/>
                <w:color w:val="auto"/>
              </w:rPr>
            </w:pPr>
          </w:p>
        </w:tc>
        <w:tc>
          <w:tcPr>
            <w:tcW w:w="1560" w:type="dxa"/>
            <w:vAlign w:val="bottom"/>
            <w:tcBorders>
              <w:bottom w:val="single" w:sz="8" w:color="auto"/>
            </w:tcBorders>
            <w:shd w:val="clear" w:color="auto" w:fill="B6B6B6"/>
          </w:tcPr>
          <w:p>
            <w:pPr>
              <w:jc w:val="right"/>
              <w:ind w:right="210"/>
              <w:spacing w:after="0"/>
              <w:rPr>
                <w:sz w:val="20"/>
                <w:szCs w:val="20"/>
                <w:color w:val="auto"/>
              </w:rPr>
            </w:pPr>
            <w:r>
              <w:rPr>
                <w:rFonts w:ascii="Times New Roman" w:cs="Times New Roman" w:eastAsia="Times New Roman" w:hAnsi="Times New Roman"/>
                <w:sz w:val="18"/>
                <w:szCs w:val="18"/>
                <w:color w:val="auto"/>
              </w:rPr>
              <w:t>113</w:t>
            </w: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43"/>
        </w:trPr>
        <w:tc>
          <w:tcPr>
            <w:tcW w:w="6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415</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57"/>
        </w:trPr>
        <w:tc>
          <w:tcPr>
            <w:tcW w:w="65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Facility transaction volume</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6B6B6"/>
          </w:tcPr>
          <w:p>
            <w:pPr>
              <w:spacing w:after="0"/>
              <w:rPr>
                <w:sz w:val="22"/>
                <w:szCs w:val="22"/>
                <w:color w:val="auto"/>
              </w:rPr>
            </w:pPr>
          </w:p>
        </w:tc>
        <w:tc>
          <w:tcPr>
            <w:tcW w:w="1560" w:type="dxa"/>
            <w:vAlign w:val="bottom"/>
            <w:shd w:val="clear" w:color="auto" w:fill="B6B6B6"/>
          </w:tcPr>
          <w:p>
            <w:pPr>
              <w:jc w:val="right"/>
              <w:ind w:right="210"/>
              <w:spacing w:after="0"/>
              <w:rPr>
                <w:sz w:val="20"/>
                <w:szCs w:val="20"/>
                <w:color w:val="auto"/>
              </w:rPr>
            </w:pPr>
            <w:r>
              <w:rPr>
                <w:rFonts w:ascii="Times New Roman" w:cs="Times New Roman" w:eastAsia="Times New Roman" w:hAnsi="Times New Roman"/>
                <w:sz w:val="18"/>
                <w:szCs w:val="18"/>
                <w:color w:val="auto"/>
              </w:rPr>
              <w:t>133</w:t>
            </w:r>
          </w:p>
        </w:tc>
        <w:tc>
          <w:tcPr>
            <w:tcW w:w="14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5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dollar volume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256,844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57"/>
        </w:trPr>
        <w:tc>
          <w:tcPr>
            <w:tcW w:w="650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Average full-time equivalent employees</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bottom w:val="single" w:sz="8" w:color="auto"/>
            </w:tcBorders>
            <w:shd w:val="clear" w:color="auto" w:fill="B6B6B6"/>
          </w:tcPr>
          <w:p>
            <w:pPr>
              <w:spacing w:after="0"/>
              <w:rPr>
                <w:sz w:val="22"/>
                <w:szCs w:val="22"/>
                <w:color w:val="auto"/>
              </w:rPr>
            </w:pPr>
          </w:p>
        </w:tc>
        <w:tc>
          <w:tcPr>
            <w:tcW w:w="1560" w:type="dxa"/>
            <w:vAlign w:val="bottom"/>
            <w:tcBorders>
              <w:bottom w:val="single" w:sz="8" w:color="auto"/>
            </w:tcBorders>
            <w:shd w:val="clear" w:color="auto" w:fill="B6B6B6"/>
          </w:tcPr>
          <w:p>
            <w:pPr>
              <w:jc w:val="right"/>
              <w:ind w:right="210"/>
              <w:spacing w:after="0"/>
              <w:rPr>
                <w:sz w:val="20"/>
                <w:szCs w:val="20"/>
                <w:color w:val="auto"/>
              </w:rPr>
            </w:pPr>
            <w:r>
              <w:rPr>
                <w:rFonts w:ascii="Times New Roman" w:cs="Times New Roman" w:eastAsia="Times New Roman" w:hAnsi="Times New Roman"/>
                <w:sz w:val="18"/>
                <w:szCs w:val="18"/>
                <w:color w:val="auto"/>
              </w:rPr>
              <w:t>135</w:t>
            </w: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N/M</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from discontinued operations was $93,000, a decrease of 322,000, or 77.6% over the same period in the prior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at March 31, 2026 were $2.53 billion, a decrease of $72.2 million, or 2.8%, from December 31, 2025.</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experienced a decrease in cash and cash equivalents of $147.9 million, or 37.7%, during the first quarter of 2026. The change in cash and cash equivalents reflects the Company’s daily liquidity position and is primarily affected by changes in funding sources, mainly accounts and drafts payable, deposits and short-term borrowings, cash flows in and out of loans, investment securities, accounts and drafts receivable, and payments in advance of funding.</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investment securities portfolio increased $14.6 million, or 1.9%, during the first quarter of 2026. The increase is primarily due to purchases of $42.3 million, partially offset by sales of $3.5 million, maturities of $19.5 million, and an increase in unrealized losses of $12.7 million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Loans increased $27.5 million, or 2.6%, from December 31, 2025. The Company experienced growth in its commercial and industrial loan portfolio during the first quarter of 2026.</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Payments in advance of funding increased $96.1 million, or 58.4%, primarily due to a higher level of demand for the Company's quick pay solutions as well as timing of quarter end advances.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and drafts receivable from customers decreased $64.5 million, or 92.9%, from December 31, 2025. The decrease is solely due to timing of customer funding.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deposits at March 31, 2026 were $1.11 billion, a decrease of $94.4 million, or 7.9%, from December 31, 2025. Given the nature of the Company's deposit base being larger commercial clients, the ending balance of deposits will fluctuate from period end to period end due to liquidity needs of these clients. Average balances are generally a more meaningful measure of deposits.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and drafts payable at March 31, 2026 were $1.00 billion, a decrease of $124.7 million, or 11.1%, from December 31, 2025. Accounts and drafts payable are a stable source of funding generated by payment float from transportation and facility clients. The ending balance of accounts and drafts payable will fluctuate from period to period due to the payment processing cycle, which results in lower balances on days when payments clear and higher balances on days when payments are issued. For this reason, average balances are generally a more meaningful measure of accounts and drafts payable.</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Short-term borrowings were $145.0 million at March 31, 2026. The Company borrowed on its lines of credit primarily to fund the $96.1 million increase in payments in advance of funding.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liabilities at March 31, 2026 were $2.29 billion, a decrease of $71.0 million, or 3.0%, from December 31, 2025, reflective of the decrease in accounts and drafts payable and total deposits, partially offset by the increase in short-term borrowings.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shareholders’ equity at March 31, 2026 was $241.8 million, a $1.2 million decrease from December 31, 2025. The decrease in shareholders’ equity is a result of an increase in accumulated other comprehensive loss of $3.4 million, the repurchase of Company stock of $2.9 million, and dividends paid of $4.1 million, partially offset net income of $8.8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liquidity management discipline seeks to ensure funds are available to meet all obligations as they come due. These obligations include processing invoice payments, satisfying depositor withdrawal requests, and funding borrower credit demands. A primary goal of this practice is to achieve these objectives while maximizing profitability. This is accomplished by balancing changes in demand for funds with changes in supply of funds. Primary liquidity to meet demand is provided by short-term liquid assets that can be converted to cash, maturing investment securities and the ability to obtain funds from external sources. The Company's Asset/Liability Committee has direct oversight responsibility for the Company's liquidity position and profile. Management considers both on-balance sheet and off-balance sheet items in its evaluation of liquidity.</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balance of liquid assets consists of cash and cash equivalents, which include cash and due from banks, interest-bearing deposits in other financial institutions, federal funds sold and money market funds. Cash and cash equivalents totaled $244.3 million at March 31, 2026, a decrease of $147.9 million, or 37.7%, from December 31, 2025. At March 31, 2026, these assets represented 9.6% of total assets and are the Company’s and its subsidiaries’ primary source of liquidity to meet future expected and unexpected loan demand, depositor withdrawals or reductions in accounts and drafts payable.</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Secondary sources of liquidity include the investment portfolio and borrowing lines. Total investment securities were $785.3 million at March 31, 2026, an increase of $14.6 million from December 31, 2025. These assets represented 31.0% of total assets at March 31, 2026. Of the total portfolio, 1.2% mature in one year, 8.1% mature in one to five years, and 90.7% mature in five or more years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maintains a weighted average duration of its investment securities portfolio of approximately five years given the Company's asset sensitivity with approximately 70% of its funding sources being non-interest bearing.</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Bank has unsecured lines of credit at six correspondent banks to purchase federal funds up to a maximum of $83.0 million in aggregate. As of March 31, 2026, the Bank also has secured lines of credit with the Federal Home Loan Bank of $232.7 million collateralized by mortgage loans. The Bank had no amounts outstanding under any line of credit as of December 31,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has secured lines of credit from three banks up to a maximum of $225.0 million in aggregate collateralized by investment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$145.0 million total outstanding on the Company's lines of credit as of March 31, 2026.</w:t>
      </w:r>
    </w:p>
    <w:p>
      <w:pPr>
        <w:spacing w:after="0" w:line="1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deposits of the Company's banking subsidiary have historically been stable, consisting of a sizable volume of core deposits related to customers that utilize other commercial products of the Bank, including CassPay and faith-based customers. The accounts and drafts payable generated by the Company has also historically been a stable source of funds. The Company is part of the Certificate of Deposit Account Registry Service (“CDARS”) and Insured Cash Sweep (“ICS”) deposit placement programs. Time deposits include $78.0 million of CDARS deposits and interest-bearing demand deposits include $219.9 million of ICS deposits. These programs offer the Bank’s customers the ability to maximize Federal Deposit Insurance Corporation (“FDIC”) insurance coverage. The Company uses these programs to retain or attract deposits from existing customers.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flows provided by operating activities were $14.5 million for the three months ended March 31, 2026, compared to $21.6 million for the three months ended March 31, 2025, a decrease of $7.0 million. Net cash flows from investing and financing activities fluctuate greatly as the Company actively manages its investment and loan portfolios and customer activity influences changes in deposit and accounts and drafts payable balances. Other causes for the changes in these account balances are discussed earlier in this report. Due to the daily fluctuations in these account balances, the analysis of changes in average balances, also discussed earlier in this report, can be more indicative of underlying activity than the period-end balances used in the statements of cash flows. Management anticipates that cash and cash equivalents, maturing investments and cash from operations will continue to be sufficient to fund the Company’s operations and capital expenditures in 2026, which are estimated to range from $4.0 million to $6.0 million. Capital expenditures in 2026 are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primarily consist of purchases of equipment and software related to the payment and information processing services business.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income plus amortization of intangible assets, net amortization of premium/discount on investment securities and depreciation of premises and equipment was $10.4 million and $11.1 million for the three months ended March 31, 2026 and 2025, respectively. The decrease was primarily due to lower net amortization of premiums/discounts on investment securities of $644,000 and lower net income of $134,000, partially offset by higher depreciation of $40,000. The net amortization of premium/discount on investment securities is dependent on the type of securities purchased and changes in the prevailing market interest rate environment.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impacting the $7.0 million decrease in net cash provided by operating activities include:</w:t>
      </w:r>
    </w:p>
    <w:p>
      <w:pPr>
        <w:spacing w:after="0" w:line="25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accounts receivable of $1.5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provision for credit losses of $844,000;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current income tax liability of $665,000.</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faces market risk to the extent that its net interest income and fair market value of equity are affected by changes in market interest rates. For information regarding the market risk of the Company’s financial instruments, see Item 3, “Quantitative and Qualitative Disclosures about Market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several trends and uncertainties that may impact the Company’s ability to generate revenues and income at the levels that it has in the past. Those that could significantly impact the Company include the general levels of interest rates, business activity, inflation, and energy costs as well as new business opportunities available to the Company. For more detailed information on these trends and uncertainties and how they can generally affect the Company’s available liquidity, see Item 7, “Management’s Discussion and Analysis of Financial Condition and Results of Operations—Liquidity” in the Company’s 2025 Form 10-K.</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bank holding company, the Company and the Bank are subject to capital requirements administered by state and federal banking agencies. Capital adequacy guidelines, and, for banks, prompt corrective action regulations, involve quantitative measures of assets, liabilities, and certain off-balance sheet items calculated under regulatory accounting practices. Capital amounts and classifications are subject to qualitative judgments by regulators about components, risk weighting, and other factors. In addition, the calculation of all types of regulatory capital is subject to deductions and adjustments specified in the regulations. For example, as allowed under the Basel III Capital Rules, the Company has elected to opt-out of the requirement to include most components of accumulated other comprehensive income in common equity Tier 1 capital. For more information on these regulatory requirements, including the Basel III Capital Rules and capital classifications, see Item 1, "Business-Supervision and Regulation" and Item 8, Note 2, "Financial Statements and Supplementary Data" of the Company's 2025 Form 10-K.</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the Bank continue to exceed all regulatory capital requirements, as evidenced by the following capital amounts and ratios: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7"/>
              </w:rPr>
              <w:t>Requirement to be</w:t>
            </w:r>
          </w:p>
        </w:tc>
        <w:tc>
          <w:tcPr>
            <w:tcW w:w="0" w:type="dxa"/>
            <w:vAlign w:val="bottom"/>
          </w:tcPr>
          <w:p>
            <w:pPr>
              <w:spacing w:after="0"/>
              <w:rPr>
                <w:sz w:val="1"/>
                <w:szCs w:val="1"/>
                <w:color w:val="auto"/>
              </w:rPr>
            </w:pPr>
          </w:p>
        </w:tc>
      </w:tr>
      <w:tr>
        <w:trPr>
          <w:trHeight w:val="238"/>
        </w:trPr>
        <w:tc>
          <w:tcPr>
            <w:tcW w:w="3780" w:type="dxa"/>
            <w:vAlign w:val="bottom"/>
            <w:tcBorders>
              <w:bottom w:val="single" w:sz="8" w:color="B6B6B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Requirements</w:t>
            </w: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Well-Capitalized</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shd w:val="clear" w:color="auto" w:fill="B6B6B6"/>
          </w:tcPr>
          <w:p>
            <w:pPr>
              <w:spacing w:after="0"/>
              <w:rPr>
                <w:sz w:val="19"/>
                <w:szCs w:val="19"/>
                <w:color w:val="auto"/>
              </w:rPr>
            </w:pPr>
          </w:p>
        </w:tc>
        <w:tc>
          <w:tcPr>
            <w:tcW w:w="1380" w:type="dxa"/>
            <w:vAlign w:val="bottom"/>
            <w:tcBorders>
              <w:bottom w:val="single" w:sz="8" w:color="auto"/>
            </w:tcBorders>
            <w:shd w:val="clear" w:color="auto" w:fill="B6B6B6"/>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60" w:type="dxa"/>
            <w:vAlign w:val="bottom"/>
            <w:tcBorders>
              <w:bottom w:val="single" w:sz="8" w:color="auto"/>
            </w:tcBorders>
            <w:shd w:val="clear" w:color="auto" w:fill="B6B6B6"/>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20" w:type="dxa"/>
            <w:vAlign w:val="bottom"/>
            <w:tcBorders>
              <w:bottom w:val="single" w:sz="8" w:color="auto"/>
            </w:tcBorders>
            <w:shd w:val="clear" w:color="auto" w:fill="B6B6B6"/>
          </w:tcPr>
          <w:p>
            <w:pPr>
              <w:spacing w:after="0"/>
              <w:rPr>
                <w:sz w:val="19"/>
                <w:szCs w:val="19"/>
                <w:color w:val="auto"/>
              </w:rPr>
            </w:pPr>
          </w:p>
        </w:tc>
        <w:tc>
          <w:tcPr>
            <w:tcW w:w="1400" w:type="dxa"/>
            <w:vAlign w:val="bottom"/>
            <w:tcBorders>
              <w:bottom w:val="single" w:sz="8" w:color="auto"/>
            </w:tcBorders>
            <w:shd w:val="clear" w:color="auto" w:fill="B6B6B6"/>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Borders>
              <w:bottom w:val="single" w:sz="8" w:color="auto"/>
            </w:tcBorders>
            <w:shd w:val="clear" w:color="auto" w:fill="B6B6B6"/>
          </w:tcPr>
          <w:p>
            <w:pPr>
              <w:ind w:left="6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260" w:type="dxa"/>
            <w:vAlign w:val="bottom"/>
            <w:tcBorders>
              <w:bottom w:val="single" w:sz="8" w:color="auto"/>
            </w:tcBorders>
            <w:gridSpan w:val="2"/>
            <w:shd w:val="clear" w:color="auto" w:fill="B6B6B6"/>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0" w:type="dxa"/>
            <w:vAlign w:val="bottom"/>
            <w:tcBorders>
              <w:bottom w:val="single" w:sz="8" w:color="auto"/>
            </w:tcBorders>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March 31, 2026</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shd w:val="clear" w:color="auto" w:fill="B6B6B6"/>
          </w:tcPr>
          <w:p>
            <w:pPr>
              <w:spacing w:after="0"/>
              <w:rPr>
                <w:sz w:val="19"/>
                <w:szCs w:val="19"/>
                <w:color w:val="auto"/>
              </w:rPr>
            </w:pPr>
          </w:p>
        </w:tc>
        <w:tc>
          <w:tcPr>
            <w:tcW w:w="13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220" w:type="dxa"/>
            <w:vAlign w:val="bottom"/>
            <w:shd w:val="clear" w:color="auto" w:fill="B6B6B6"/>
          </w:tcPr>
          <w:p>
            <w:pPr>
              <w:spacing w:after="0"/>
              <w:rPr>
                <w:sz w:val="19"/>
                <w:szCs w:val="19"/>
                <w:color w:val="auto"/>
              </w:rPr>
            </w:pPr>
          </w:p>
        </w:tc>
        <w:tc>
          <w:tcPr>
            <w:tcW w:w="1400" w:type="dxa"/>
            <w:vAlign w:val="bottom"/>
            <w:shd w:val="clear" w:color="auto" w:fill="B6B6B6"/>
          </w:tcPr>
          <w:p>
            <w:pPr>
              <w:spacing w:after="0"/>
              <w:rPr>
                <w:sz w:val="19"/>
                <w:szCs w:val="19"/>
                <w:color w:val="auto"/>
              </w:rPr>
            </w:pPr>
          </w:p>
        </w:tc>
        <w:tc>
          <w:tcPr>
            <w:tcW w:w="1060" w:type="dxa"/>
            <w:vAlign w:val="bottom"/>
            <w:shd w:val="clear" w:color="auto" w:fill="B6B6B6"/>
          </w:tcPr>
          <w:p>
            <w:pPr>
              <w:spacing w:after="0"/>
              <w:rPr>
                <w:sz w:val="19"/>
                <w:szCs w:val="19"/>
                <w:color w:val="auto"/>
              </w:rPr>
            </w:pPr>
          </w:p>
        </w:tc>
        <w:tc>
          <w:tcPr>
            <w:tcW w:w="380" w:type="dxa"/>
            <w:vAlign w:val="bottom"/>
            <w:shd w:val="clear" w:color="auto" w:fill="B6B6B6"/>
          </w:tcPr>
          <w:p>
            <w:pPr>
              <w:spacing w:after="0"/>
              <w:rPr>
                <w:sz w:val="19"/>
                <w:szCs w:val="19"/>
                <w:color w:val="auto"/>
              </w:rPr>
            </w:pPr>
          </w:p>
        </w:tc>
        <w:tc>
          <w:tcPr>
            <w:tcW w:w="880" w:type="dxa"/>
            <w:vAlign w:val="bottom"/>
            <w:shd w:val="clear" w:color="auto" w:fill="B6B6B6"/>
          </w:tcPr>
          <w:p>
            <w:pPr>
              <w:spacing w:after="0"/>
              <w:rPr>
                <w:sz w:val="19"/>
                <w:szCs w:val="19"/>
                <w:color w:val="auto"/>
              </w:rPr>
            </w:pPr>
          </w:p>
        </w:tc>
        <w:tc>
          <w:tcPr>
            <w:tcW w:w="1000" w:type="dxa"/>
            <w:vAlign w:val="bottom"/>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265,864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136,104</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8.00 %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 %</w:t>
            </w:r>
          </w:p>
        </w:tc>
        <w:tc>
          <w:tcPr>
            <w:tcW w:w="0" w:type="dxa"/>
            <w:vAlign w:val="bottom"/>
          </w:tcPr>
          <w:p>
            <w:pPr>
              <w:spacing w:after="0"/>
              <w:rPr>
                <w:sz w:val="1"/>
                <w:szCs w:val="1"/>
                <w:color w:val="auto"/>
              </w:rPr>
            </w:pPr>
          </w:p>
        </w:tc>
      </w:tr>
      <w:tr>
        <w:trPr>
          <w:trHeight w:val="230"/>
        </w:trPr>
        <w:tc>
          <w:tcPr>
            <w:tcW w:w="37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shd w:val="clear" w:color="auto" w:fill="B6B6B6"/>
          </w:tcPr>
          <w:p>
            <w:pPr>
              <w:spacing w:after="0"/>
              <w:rPr>
                <w:sz w:val="19"/>
                <w:szCs w:val="19"/>
                <w:color w:val="auto"/>
              </w:rPr>
            </w:pPr>
          </w:p>
        </w:tc>
        <w:tc>
          <w:tcPr>
            <w:tcW w:w="1380" w:type="dxa"/>
            <w:vAlign w:val="bottom"/>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217,649</w:t>
            </w:r>
          </w:p>
        </w:tc>
        <w:tc>
          <w:tcPr>
            <w:tcW w:w="96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19.31</w:t>
            </w:r>
          </w:p>
        </w:tc>
        <w:tc>
          <w:tcPr>
            <w:tcW w:w="220" w:type="dxa"/>
            <w:vAlign w:val="bottom"/>
            <w:shd w:val="clear" w:color="auto" w:fill="B6B6B6"/>
          </w:tcPr>
          <w:p>
            <w:pPr>
              <w:spacing w:after="0"/>
              <w:rPr>
                <w:sz w:val="19"/>
                <w:szCs w:val="19"/>
                <w:color w:val="auto"/>
              </w:rPr>
            </w:pPr>
          </w:p>
        </w:tc>
        <w:tc>
          <w:tcPr>
            <w:tcW w:w="1400" w:type="dxa"/>
            <w:vAlign w:val="bottom"/>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rPr>
              <w:t>90,154</w:t>
            </w:r>
          </w:p>
        </w:tc>
        <w:tc>
          <w:tcPr>
            <w:tcW w:w="10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8.00</w:t>
            </w:r>
          </w:p>
        </w:tc>
        <w:tc>
          <w:tcPr>
            <w:tcW w:w="380" w:type="dxa"/>
            <w:vAlign w:val="bottom"/>
            <w:shd w:val="clear" w:color="auto" w:fill="B6B6B6"/>
          </w:tcPr>
          <w:p>
            <w:pPr>
              <w:spacing w:after="0"/>
              <w:rPr>
                <w:sz w:val="19"/>
                <w:szCs w:val="19"/>
                <w:color w:val="auto"/>
              </w:rPr>
            </w:pPr>
          </w:p>
        </w:tc>
        <w:tc>
          <w:tcPr>
            <w:tcW w:w="88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w w:val="99"/>
              </w:rPr>
              <w:t>112,692</w:t>
            </w: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84"/>
        </w:trPr>
        <w:tc>
          <w:tcPr>
            <w:tcW w:w="3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Equity Tier I Capital (to risk-weighted</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shd w:val="clear" w:color="auto" w:fill="B6B6B6"/>
          </w:tcPr>
          <w:p>
            <w:pPr>
              <w:spacing w:after="0"/>
              <w:rPr>
                <w:sz w:val="19"/>
                <w:szCs w:val="19"/>
                <w:color w:val="auto"/>
              </w:rPr>
            </w:pPr>
          </w:p>
        </w:tc>
        <w:tc>
          <w:tcPr>
            <w:tcW w:w="1380" w:type="dxa"/>
            <w:vAlign w:val="bottom"/>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251,787</w:t>
            </w:r>
          </w:p>
        </w:tc>
        <w:tc>
          <w:tcPr>
            <w:tcW w:w="96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14.80</w:t>
            </w:r>
          </w:p>
        </w:tc>
        <w:tc>
          <w:tcPr>
            <w:tcW w:w="220" w:type="dxa"/>
            <w:vAlign w:val="bottom"/>
            <w:shd w:val="clear" w:color="auto" w:fill="B6B6B6"/>
          </w:tcPr>
          <w:p>
            <w:pPr>
              <w:spacing w:after="0"/>
              <w:rPr>
                <w:sz w:val="19"/>
                <w:szCs w:val="19"/>
                <w:color w:val="auto"/>
              </w:rPr>
            </w:pPr>
          </w:p>
        </w:tc>
        <w:tc>
          <w:tcPr>
            <w:tcW w:w="1400" w:type="dxa"/>
            <w:vAlign w:val="bottom"/>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rPr>
              <w:t>76,558</w:t>
            </w:r>
          </w:p>
        </w:tc>
        <w:tc>
          <w:tcPr>
            <w:tcW w:w="10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shd w:val="clear" w:color="auto" w:fill="B6B6B6"/>
          </w:tcPr>
          <w:p>
            <w:pPr>
              <w:spacing w:after="0"/>
              <w:rPr>
                <w:sz w:val="19"/>
                <w:szCs w:val="19"/>
                <w:color w:val="auto"/>
              </w:rPr>
            </w:pPr>
          </w:p>
        </w:tc>
        <w:tc>
          <w:tcPr>
            <w:tcW w:w="8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204,068</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18.11</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50,711</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73,250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29"/>
        </w:trPr>
        <w:tc>
          <w:tcPr>
            <w:tcW w:w="37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Tier I capital (to risk-weighted assets)</w:t>
            </w:r>
          </w:p>
        </w:tc>
        <w:tc>
          <w:tcPr>
            <w:tcW w:w="180" w:type="dxa"/>
            <w:vAlign w:val="bottom"/>
            <w:shd w:val="clear" w:color="auto" w:fill="B6B6B6"/>
          </w:tcPr>
          <w:p>
            <w:pPr>
              <w:spacing w:after="0"/>
              <w:rPr>
                <w:sz w:val="19"/>
                <w:szCs w:val="19"/>
                <w:color w:val="auto"/>
              </w:rPr>
            </w:pPr>
          </w:p>
        </w:tc>
        <w:tc>
          <w:tcPr>
            <w:tcW w:w="13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220" w:type="dxa"/>
            <w:vAlign w:val="bottom"/>
            <w:shd w:val="clear" w:color="auto" w:fill="B6B6B6"/>
          </w:tcPr>
          <w:p>
            <w:pPr>
              <w:spacing w:after="0"/>
              <w:rPr>
                <w:sz w:val="19"/>
                <w:szCs w:val="19"/>
                <w:color w:val="auto"/>
              </w:rPr>
            </w:pPr>
          </w:p>
        </w:tc>
        <w:tc>
          <w:tcPr>
            <w:tcW w:w="1400" w:type="dxa"/>
            <w:vAlign w:val="bottom"/>
            <w:shd w:val="clear" w:color="auto" w:fill="B6B6B6"/>
          </w:tcPr>
          <w:p>
            <w:pPr>
              <w:spacing w:after="0"/>
              <w:rPr>
                <w:sz w:val="19"/>
                <w:szCs w:val="19"/>
                <w:color w:val="auto"/>
              </w:rPr>
            </w:pPr>
          </w:p>
        </w:tc>
        <w:tc>
          <w:tcPr>
            <w:tcW w:w="1060" w:type="dxa"/>
            <w:vAlign w:val="bottom"/>
            <w:shd w:val="clear" w:color="auto" w:fill="B6B6B6"/>
          </w:tcPr>
          <w:p>
            <w:pPr>
              <w:spacing w:after="0"/>
              <w:rPr>
                <w:sz w:val="19"/>
                <w:szCs w:val="19"/>
                <w:color w:val="auto"/>
              </w:rPr>
            </w:pPr>
          </w:p>
        </w:tc>
        <w:tc>
          <w:tcPr>
            <w:tcW w:w="380" w:type="dxa"/>
            <w:vAlign w:val="bottom"/>
            <w:shd w:val="clear" w:color="auto" w:fill="B6B6B6"/>
          </w:tcPr>
          <w:p>
            <w:pPr>
              <w:spacing w:after="0"/>
              <w:rPr>
                <w:sz w:val="19"/>
                <w:szCs w:val="19"/>
                <w:color w:val="auto"/>
              </w:rPr>
            </w:pPr>
          </w:p>
        </w:tc>
        <w:tc>
          <w:tcPr>
            <w:tcW w:w="880" w:type="dxa"/>
            <w:vAlign w:val="bottom"/>
            <w:shd w:val="clear" w:color="auto" w:fill="B6B6B6"/>
          </w:tcPr>
          <w:p>
            <w:pPr>
              <w:spacing w:after="0"/>
              <w:rPr>
                <w:sz w:val="19"/>
                <w:szCs w:val="19"/>
                <w:color w:val="auto"/>
              </w:rPr>
            </w:pPr>
          </w:p>
        </w:tc>
        <w:tc>
          <w:tcPr>
            <w:tcW w:w="1000" w:type="dxa"/>
            <w:vAlign w:val="bottom"/>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251,787</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14.80</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102,078</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7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shd w:val="clear" w:color="auto" w:fill="B6B6B6"/>
          </w:tcPr>
          <w:p>
            <w:pPr>
              <w:spacing w:after="0"/>
              <w:rPr>
                <w:sz w:val="19"/>
                <w:szCs w:val="19"/>
                <w:color w:val="auto"/>
              </w:rPr>
            </w:pPr>
          </w:p>
        </w:tc>
        <w:tc>
          <w:tcPr>
            <w:tcW w:w="1380" w:type="dxa"/>
            <w:vAlign w:val="bottom"/>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204,068</w:t>
            </w:r>
          </w:p>
        </w:tc>
        <w:tc>
          <w:tcPr>
            <w:tcW w:w="96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18.11</w:t>
            </w:r>
          </w:p>
        </w:tc>
        <w:tc>
          <w:tcPr>
            <w:tcW w:w="220" w:type="dxa"/>
            <w:vAlign w:val="bottom"/>
            <w:shd w:val="clear" w:color="auto" w:fill="B6B6B6"/>
          </w:tcPr>
          <w:p>
            <w:pPr>
              <w:spacing w:after="0"/>
              <w:rPr>
                <w:sz w:val="19"/>
                <w:szCs w:val="19"/>
                <w:color w:val="auto"/>
              </w:rPr>
            </w:pPr>
          </w:p>
        </w:tc>
        <w:tc>
          <w:tcPr>
            <w:tcW w:w="1400" w:type="dxa"/>
            <w:vAlign w:val="bottom"/>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rPr>
              <w:t>67,615</w:t>
            </w:r>
          </w:p>
        </w:tc>
        <w:tc>
          <w:tcPr>
            <w:tcW w:w="10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shd w:val="clear" w:color="auto" w:fill="B6B6B6"/>
          </w:tcPr>
          <w:p>
            <w:pPr>
              <w:spacing w:after="0"/>
              <w:rPr>
                <w:sz w:val="19"/>
                <w:szCs w:val="19"/>
                <w:color w:val="auto"/>
              </w:rPr>
            </w:pPr>
          </w:p>
        </w:tc>
        <w:tc>
          <w:tcPr>
            <w:tcW w:w="88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90,154</w:t>
            </w: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I capital (to average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shd w:val="clear" w:color="auto" w:fill="B6B6B6"/>
          </w:tcPr>
          <w:p>
            <w:pPr>
              <w:spacing w:after="0"/>
              <w:rPr>
                <w:sz w:val="19"/>
                <w:szCs w:val="19"/>
                <w:color w:val="auto"/>
              </w:rPr>
            </w:pPr>
          </w:p>
        </w:tc>
        <w:tc>
          <w:tcPr>
            <w:tcW w:w="1380" w:type="dxa"/>
            <w:vAlign w:val="bottom"/>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251,787</w:t>
            </w:r>
          </w:p>
        </w:tc>
        <w:tc>
          <w:tcPr>
            <w:tcW w:w="96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10.05</w:t>
            </w:r>
          </w:p>
        </w:tc>
        <w:tc>
          <w:tcPr>
            <w:tcW w:w="220" w:type="dxa"/>
            <w:vAlign w:val="bottom"/>
            <w:shd w:val="clear" w:color="auto" w:fill="B6B6B6"/>
          </w:tcPr>
          <w:p>
            <w:pPr>
              <w:spacing w:after="0"/>
              <w:rPr>
                <w:sz w:val="19"/>
                <w:szCs w:val="19"/>
                <w:color w:val="auto"/>
              </w:rPr>
            </w:pPr>
          </w:p>
        </w:tc>
        <w:tc>
          <w:tcPr>
            <w:tcW w:w="1400" w:type="dxa"/>
            <w:vAlign w:val="bottom"/>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rPr>
              <w:t>100,170</w:t>
            </w:r>
          </w:p>
        </w:tc>
        <w:tc>
          <w:tcPr>
            <w:tcW w:w="10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shd w:val="clear" w:color="auto" w:fill="B6B6B6"/>
          </w:tcPr>
          <w:p>
            <w:pPr>
              <w:spacing w:after="0"/>
              <w:rPr>
                <w:sz w:val="19"/>
                <w:szCs w:val="19"/>
                <w:color w:val="auto"/>
              </w:rPr>
            </w:pPr>
          </w:p>
        </w:tc>
        <w:tc>
          <w:tcPr>
            <w:tcW w:w="8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204,068</w:t>
            </w: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14.54</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56,136</w:t>
            </w:r>
          </w:p>
        </w:tc>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70,170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3"/>
        </w:trPr>
        <w:tc>
          <w:tcPr>
            <w:tcW w:w="37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180" w:type="dxa"/>
            <w:vAlign w:val="bottom"/>
            <w:shd w:val="clear" w:color="auto" w:fill="B6B6B6"/>
          </w:tcPr>
          <w:p>
            <w:pPr>
              <w:spacing w:after="0"/>
              <w:rPr>
                <w:sz w:val="19"/>
                <w:szCs w:val="19"/>
                <w:color w:val="auto"/>
              </w:rPr>
            </w:pPr>
          </w:p>
        </w:tc>
        <w:tc>
          <w:tcPr>
            <w:tcW w:w="13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220" w:type="dxa"/>
            <w:vAlign w:val="bottom"/>
            <w:shd w:val="clear" w:color="auto" w:fill="B6B6B6"/>
          </w:tcPr>
          <w:p>
            <w:pPr>
              <w:spacing w:after="0"/>
              <w:rPr>
                <w:sz w:val="19"/>
                <w:szCs w:val="19"/>
                <w:color w:val="auto"/>
              </w:rPr>
            </w:pPr>
          </w:p>
        </w:tc>
        <w:tc>
          <w:tcPr>
            <w:tcW w:w="1400" w:type="dxa"/>
            <w:vAlign w:val="bottom"/>
            <w:shd w:val="clear" w:color="auto" w:fill="B6B6B6"/>
          </w:tcPr>
          <w:p>
            <w:pPr>
              <w:spacing w:after="0"/>
              <w:rPr>
                <w:sz w:val="19"/>
                <w:szCs w:val="19"/>
                <w:color w:val="auto"/>
              </w:rPr>
            </w:pPr>
          </w:p>
        </w:tc>
        <w:tc>
          <w:tcPr>
            <w:tcW w:w="1060" w:type="dxa"/>
            <w:vAlign w:val="bottom"/>
            <w:shd w:val="clear" w:color="auto" w:fill="B6B6B6"/>
          </w:tcPr>
          <w:p>
            <w:pPr>
              <w:spacing w:after="0"/>
              <w:rPr>
                <w:sz w:val="19"/>
                <w:szCs w:val="19"/>
                <w:color w:val="auto"/>
              </w:rPr>
            </w:pPr>
          </w:p>
        </w:tc>
        <w:tc>
          <w:tcPr>
            <w:tcW w:w="380" w:type="dxa"/>
            <w:vAlign w:val="bottom"/>
            <w:shd w:val="clear" w:color="auto" w:fill="B6B6B6"/>
          </w:tcPr>
          <w:p>
            <w:pPr>
              <w:spacing w:after="0"/>
              <w:rPr>
                <w:sz w:val="19"/>
                <w:szCs w:val="19"/>
                <w:color w:val="auto"/>
              </w:rPr>
            </w:pPr>
          </w:p>
        </w:tc>
        <w:tc>
          <w:tcPr>
            <w:tcW w:w="880" w:type="dxa"/>
            <w:vAlign w:val="bottom"/>
            <w:shd w:val="clear" w:color="auto" w:fill="B6B6B6"/>
          </w:tcPr>
          <w:p>
            <w:pPr>
              <w:spacing w:after="0"/>
              <w:rPr>
                <w:sz w:val="19"/>
                <w:szCs w:val="19"/>
                <w:color w:val="auto"/>
              </w:rPr>
            </w:pPr>
          </w:p>
        </w:tc>
        <w:tc>
          <w:tcPr>
            <w:tcW w:w="1000" w:type="dxa"/>
            <w:vAlign w:val="bottom"/>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262,792</w:t>
            </w: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15.95 %</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rPr>
              <w:t>131,837</w:t>
            </w:r>
          </w:p>
        </w:tc>
        <w:tc>
          <w:tcPr>
            <w:tcW w:w="10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8.00 %</w:t>
            </w:r>
          </w:p>
        </w:tc>
        <w:tc>
          <w:tcPr>
            <w:tcW w:w="3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N/A %</w:t>
            </w: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217,409</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19.61</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88,677</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8.00</w:t>
            </w:r>
          </w:p>
        </w:tc>
        <w:tc>
          <w:tcPr>
            <w:tcW w:w="38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110,847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84"/>
        </w:trPr>
        <w:tc>
          <w:tcPr>
            <w:tcW w:w="3780" w:type="dxa"/>
            <w:vAlign w:val="bottom"/>
            <w:shd w:val="clear" w:color="auto" w:fill="B6B6B6"/>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Equity Tier I Capital (to risk-weighted</w:t>
            </w:r>
          </w:p>
        </w:tc>
        <w:tc>
          <w:tcPr>
            <w:tcW w:w="180" w:type="dxa"/>
            <w:vAlign w:val="bottom"/>
            <w:shd w:val="clear" w:color="auto" w:fill="B6B6B6"/>
          </w:tcPr>
          <w:p>
            <w:pPr>
              <w:spacing w:after="0"/>
              <w:rPr>
                <w:sz w:val="16"/>
                <w:szCs w:val="16"/>
                <w:color w:val="auto"/>
              </w:rPr>
            </w:pPr>
          </w:p>
        </w:tc>
        <w:tc>
          <w:tcPr>
            <w:tcW w:w="1380" w:type="dxa"/>
            <w:vAlign w:val="bottom"/>
            <w:shd w:val="clear" w:color="auto" w:fill="B6B6B6"/>
          </w:tcPr>
          <w:p>
            <w:pPr>
              <w:spacing w:after="0"/>
              <w:rPr>
                <w:sz w:val="16"/>
                <w:szCs w:val="16"/>
                <w:color w:val="auto"/>
              </w:rPr>
            </w:pPr>
          </w:p>
        </w:tc>
        <w:tc>
          <w:tcPr>
            <w:tcW w:w="960" w:type="dxa"/>
            <w:vAlign w:val="bottom"/>
            <w:shd w:val="clear" w:color="auto" w:fill="B6B6B6"/>
          </w:tcPr>
          <w:p>
            <w:pPr>
              <w:spacing w:after="0"/>
              <w:rPr>
                <w:sz w:val="16"/>
                <w:szCs w:val="16"/>
                <w:color w:val="auto"/>
              </w:rPr>
            </w:pPr>
          </w:p>
        </w:tc>
        <w:tc>
          <w:tcPr>
            <w:tcW w:w="220" w:type="dxa"/>
            <w:vAlign w:val="bottom"/>
            <w:shd w:val="clear" w:color="auto" w:fill="B6B6B6"/>
          </w:tcPr>
          <w:p>
            <w:pPr>
              <w:spacing w:after="0"/>
              <w:rPr>
                <w:sz w:val="16"/>
                <w:szCs w:val="16"/>
                <w:color w:val="auto"/>
              </w:rPr>
            </w:pPr>
          </w:p>
        </w:tc>
        <w:tc>
          <w:tcPr>
            <w:tcW w:w="1400" w:type="dxa"/>
            <w:vAlign w:val="bottom"/>
            <w:shd w:val="clear" w:color="auto" w:fill="B6B6B6"/>
          </w:tcPr>
          <w:p>
            <w:pPr>
              <w:spacing w:after="0"/>
              <w:rPr>
                <w:sz w:val="16"/>
                <w:szCs w:val="16"/>
                <w:color w:val="auto"/>
              </w:rPr>
            </w:pPr>
          </w:p>
        </w:tc>
        <w:tc>
          <w:tcPr>
            <w:tcW w:w="1060" w:type="dxa"/>
            <w:vAlign w:val="bottom"/>
            <w:shd w:val="clear" w:color="auto" w:fill="B6B6B6"/>
          </w:tcPr>
          <w:p>
            <w:pPr>
              <w:spacing w:after="0"/>
              <w:rPr>
                <w:sz w:val="16"/>
                <w:szCs w:val="16"/>
                <w:color w:val="auto"/>
              </w:rPr>
            </w:pPr>
          </w:p>
        </w:tc>
        <w:tc>
          <w:tcPr>
            <w:tcW w:w="380" w:type="dxa"/>
            <w:vAlign w:val="bottom"/>
            <w:shd w:val="clear" w:color="auto" w:fill="B6B6B6"/>
          </w:tcPr>
          <w:p>
            <w:pPr>
              <w:spacing w:after="0"/>
              <w:rPr>
                <w:sz w:val="16"/>
                <w:szCs w:val="16"/>
                <w:color w:val="auto"/>
              </w:rPr>
            </w:pPr>
          </w:p>
        </w:tc>
        <w:tc>
          <w:tcPr>
            <w:tcW w:w="880" w:type="dxa"/>
            <w:vAlign w:val="bottom"/>
            <w:shd w:val="clear" w:color="auto" w:fill="B6B6B6"/>
          </w:tcPr>
          <w:p>
            <w:pPr>
              <w:spacing w:after="0"/>
              <w:rPr>
                <w:sz w:val="16"/>
                <w:szCs w:val="16"/>
                <w:color w:val="auto"/>
              </w:rPr>
            </w:pPr>
          </w:p>
        </w:tc>
        <w:tc>
          <w:tcPr>
            <w:tcW w:w="1000" w:type="dxa"/>
            <w:vAlign w:val="bottom"/>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B6B6B6"/>
          </w:tcPr>
          <w:p>
            <w:pPr>
              <w:spacing w:after="0"/>
              <w:rPr>
                <w:sz w:val="20"/>
                <w:szCs w:val="20"/>
                <w:color w:val="auto"/>
              </w:rPr>
            </w:pPr>
          </w:p>
        </w:tc>
        <w:tc>
          <w:tcPr>
            <w:tcW w:w="1380" w:type="dxa"/>
            <w:vAlign w:val="bottom"/>
            <w:shd w:val="clear" w:color="auto" w:fill="B6B6B6"/>
          </w:tcPr>
          <w:p>
            <w:pPr>
              <w:spacing w:after="0"/>
              <w:rPr>
                <w:sz w:val="20"/>
                <w:szCs w:val="20"/>
                <w:color w:val="auto"/>
              </w:rPr>
            </w:pPr>
          </w:p>
        </w:tc>
        <w:tc>
          <w:tcPr>
            <w:tcW w:w="960" w:type="dxa"/>
            <w:vAlign w:val="bottom"/>
            <w:shd w:val="clear" w:color="auto" w:fill="B6B6B6"/>
          </w:tcPr>
          <w:p>
            <w:pPr>
              <w:spacing w:after="0"/>
              <w:rPr>
                <w:sz w:val="20"/>
                <w:szCs w:val="20"/>
                <w:color w:val="auto"/>
              </w:rPr>
            </w:pPr>
          </w:p>
        </w:tc>
        <w:tc>
          <w:tcPr>
            <w:tcW w:w="220" w:type="dxa"/>
            <w:vAlign w:val="bottom"/>
            <w:shd w:val="clear" w:color="auto" w:fill="B6B6B6"/>
          </w:tcPr>
          <w:p>
            <w:pPr>
              <w:spacing w:after="0"/>
              <w:rPr>
                <w:sz w:val="20"/>
                <w:szCs w:val="20"/>
                <w:color w:val="auto"/>
              </w:rPr>
            </w:pPr>
          </w:p>
        </w:tc>
        <w:tc>
          <w:tcPr>
            <w:tcW w:w="1400" w:type="dxa"/>
            <w:vAlign w:val="bottom"/>
            <w:shd w:val="clear" w:color="auto" w:fill="B6B6B6"/>
          </w:tcPr>
          <w:p>
            <w:pPr>
              <w:spacing w:after="0"/>
              <w:rPr>
                <w:sz w:val="20"/>
                <w:szCs w:val="20"/>
                <w:color w:val="auto"/>
              </w:rPr>
            </w:pPr>
          </w:p>
        </w:tc>
        <w:tc>
          <w:tcPr>
            <w:tcW w:w="1060" w:type="dxa"/>
            <w:vAlign w:val="bottom"/>
            <w:shd w:val="clear" w:color="auto" w:fill="B6B6B6"/>
          </w:tcPr>
          <w:p>
            <w:pPr>
              <w:spacing w:after="0"/>
              <w:rPr>
                <w:sz w:val="20"/>
                <w:szCs w:val="20"/>
                <w:color w:val="auto"/>
              </w:rPr>
            </w:pPr>
          </w:p>
        </w:tc>
        <w:tc>
          <w:tcPr>
            <w:tcW w:w="380" w:type="dxa"/>
            <w:vAlign w:val="bottom"/>
            <w:shd w:val="clear" w:color="auto" w:fill="B6B6B6"/>
          </w:tcPr>
          <w:p>
            <w:pPr>
              <w:spacing w:after="0"/>
              <w:rPr>
                <w:sz w:val="20"/>
                <w:szCs w:val="20"/>
                <w:color w:val="auto"/>
              </w:rPr>
            </w:pPr>
          </w:p>
        </w:tc>
        <w:tc>
          <w:tcPr>
            <w:tcW w:w="880" w:type="dxa"/>
            <w:vAlign w:val="bottom"/>
            <w:shd w:val="clear" w:color="auto" w:fill="B6B6B6"/>
          </w:tcPr>
          <w:p>
            <w:pPr>
              <w:spacing w:after="0"/>
              <w:rPr>
                <w:sz w:val="20"/>
                <w:szCs w:val="20"/>
                <w:color w:val="auto"/>
              </w:rPr>
            </w:pPr>
          </w:p>
        </w:tc>
        <w:tc>
          <w:tcPr>
            <w:tcW w:w="100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248,776</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15.10</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74,158</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7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shd w:val="clear" w:color="auto" w:fill="B6B6B6"/>
          </w:tcPr>
          <w:p>
            <w:pPr>
              <w:spacing w:after="0"/>
              <w:rPr>
                <w:sz w:val="19"/>
                <w:szCs w:val="19"/>
                <w:color w:val="auto"/>
              </w:rPr>
            </w:pPr>
          </w:p>
        </w:tc>
        <w:tc>
          <w:tcPr>
            <w:tcW w:w="1380" w:type="dxa"/>
            <w:vAlign w:val="bottom"/>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203,943</w:t>
            </w:r>
          </w:p>
        </w:tc>
        <w:tc>
          <w:tcPr>
            <w:tcW w:w="96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18.40</w:t>
            </w:r>
          </w:p>
        </w:tc>
        <w:tc>
          <w:tcPr>
            <w:tcW w:w="220" w:type="dxa"/>
            <w:vAlign w:val="bottom"/>
            <w:shd w:val="clear" w:color="auto" w:fill="B6B6B6"/>
          </w:tcPr>
          <w:p>
            <w:pPr>
              <w:spacing w:after="0"/>
              <w:rPr>
                <w:sz w:val="19"/>
                <w:szCs w:val="19"/>
                <w:color w:val="auto"/>
              </w:rPr>
            </w:pPr>
          </w:p>
        </w:tc>
        <w:tc>
          <w:tcPr>
            <w:tcW w:w="1400" w:type="dxa"/>
            <w:vAlign w:val="bottom"/>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rPr>
              <w:t>49,881</w:t>
            </w:r>
          </w:p>
        </w:tc>
        <w:tc>
          <w:tcPr>
            <w:tcW w:w="10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shd w:val="clear" w:color="auto" w:fill="B6B6B6"/>
          </w:tcPr>
          <w:p>
            <w:pPr>
              <w:spacing w:after="0"/>
              <w:rPr>
                <w:sz w:val="19"/>
                <w:szCs w:val="19"/>
                <w:color w:val="auto"/>
              </w:rPr>
            </w:pPr>
          </w:p>
        </w:tc>
        <w:tc>
          <w:tcPr>
            <w:tcW w:w="88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72,050</w:t>
            </w: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I capital (to risk-weighted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shd w:val="clear" w:color="auto" w:fill="B6B6B6"/>
          </w:tcPr>
          <w:p>
            <w:pPr>
              <w:spacing w:after="0"/>
              <w:rPr>
                <w:sz w:val="19"/>
                <w:szCs w:val="19"/>
                <w:color w:val="auto"/>
              </w:rPr>
            </w:pPr>
          </w:p>
        </w:tc>
        <w:tc>
          <w:tcPr>
            <w:tcW w:w="1380" w:type="dxa"/>
            <w:vAlign w:val="bottom"/>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248,776</w:t>
            </w:r>
          </w:p>
        </w:tc>
        <w:tc>
          <w:tcPr>
            <w:tcW w:w="96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15.10</w:t>
            </w:r>
          </w:p>
        </w:tc>
        <w:tc>
          <w:tcPr>
            <w:tcW w:w="220" w:type="dxa"/>
            <w:vAlign w:val="bottom"/>
            <w:shd w:val="clear" w:color="auto" w:fill="B6B6B6"/>
          </w:tcPr>
          <w:p>
            <w:pPr>
              <w:spacing w:after="0"/>
              <w:rPr>
                <w:sz w:val="19"/>
                <w:szCs w:val="19"/>
                <w:color w:val="auto"/>
              </w:rPr>
            </w:pPr>
          </w:p>
        </w:tc>
        <w:tc>
          <w:tcPr>
            <w:tcW w:w="1400" w:type="dxa"/>
            <w:vAlign w:val="bottom"/>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rPr>
              <w:t>98,878</w:t>
            </w:r>
          </w:p>
        </w:tc>
        <w:tc>
          <w:tcPr>
            <w:tcW w:w="10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shd w:val="clear" w:color="auto" w:fill="B6B6B6"/>
          </w:tcPr>
          <w:p>
            <w:pPr>
              <w:spacing w:after="0"/>
              <w:rPr>
                <w:sz w:val="19"/>
                <w:szCs w:val="19"/>
                <w:color w:val="auto"/>
              </w:rPr>
            </w:pPr>
          </w:p>
        </w:tc>
        <w:tc>
          <w:tcPr>
            <w:tcW w:w="8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203,943</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18.40</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66,508</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88,677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9"/>
        </w:trPr>
        <w:tc>
          <w:tcPr>
            <w:tcW w:w="37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Tier I capital (to average assets)</w:t>
            </w:r>
          </w:p>
        </w:tc>
        <w:tc>
          <w:tcPr>
            <w:tcW w:w="180" w:type="dxa"/>
            <w:vAlign w:val="bottom"/>
            <w:shd w:val="clear" w:color="auto" w:fill="B6B6B6"/>
          </w:tcPr>
          <w:p>
            <w:pPr>
              <w:spacing w:after="0"/>
              <w:rPr>
                <w:sz w:val="19"/>
                <w:szCs w:val="19"/>
                <w:color w:val="auto"/>
              </w:rPr>
            </w:pPr>
          </w:p>
        </w:tc>
        <w:tc>
          <w:tcPr>
            <w:tcW w:w="13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220" w:type="dxa"/>
            <w:vAlign w:val="bottom"/>
            <w:shd w:val="clear" w:color="auto" w:fill="B6B6B6"/>
          </w:tcPr>
          <w:p>
            <w:pPr>
              <w:spacing w:after="0"/>
              <w:rPr>
                <w:sz w:val="19"/>
                <w:szCs w:val="19"/>
                <w:color w:val="auto"/>
              </w:rPr>
            </w:pPr>
          </w:p>
        </w:tc>
        <w:tc>
          <w:tcPr>
            <w:tcW w:w="1400" w:type="dxa"/>
            <w:vAlign w:val="bottom"/>
            <w:shd w:val="clear" w:color="auto" w:fill="B6B6B6"/>
          </w:tcPr>
          <w:p>
            <w:pPr>
              <w:spacing w:after="0"/>
              <w:rPr>
                <w:sz w:val="19"/>
                <w:szCs w:val="19"/>
                <w:color w:val="auto"/>
              </w:rPr>
            </w:pPr>
          </w:p>
        </w:tc>
        <w:tc>
          <w:tcPr>
            <w:tcW w:w="1060" w:type="dxa"/>
            <w:vAlign w:val="bottom"/>
            <w:shd w:val="clear" w:color="auto" w:fill="B6B6B6"/>
          </w:tcPr>
          <w:p>
            <w:pPr>
              <w:spacing w:after="0"/>
              <w:rPr>
                <w:sz w:val="19"/>
                <w:szCs w:val="19"/>
                <w:color w:val="auto"/>
              </w:rPr>
            </w:pPr>
          </w:p>
        </w:tc>
        <w:tc>
          <w:tcPr>
            <w:tcW w:w="380" w:type="dxa"/>
            <w:vAlign w:val="bottom"/>
            <w:shd w:val="clear" w:color="auto" w:fill="B6B6B6"/>
          </w:tcPr>
          <w:p>
            <w:pPr>
              <w:spacing w:after="0"/>
              <w:rPr>
                <w:sz w:val="19"/>
                <w:szCs w:val="19"/>
                <w:color w:val="auto"/>
              </w:rPr>
            </w:pPr>
          </w:p>
        </w:tc>
        <w:tc>
          <w:tcPr>
            <w:tcW w:w="880" w:type="dxa"/>
            <w:vAlign w:val="bottom"/>
            <w:shd w:val="clear" w:color="auto" w:fill="B6B6B6"/>
          </w:tcPr>
          <w:p>
            <w:pPr>
              <w:spacing w:after="0"/>
              <w:rPr>
                <w:sz w:val="19"/>
                <w:szCs w:val="19"/>
                <w:color w:val="auto"/>
              </w:rPr>
            </w:pPr>
          </w:p>
        </w:tc>
        <w:tc>
          <w:tcPr>
            <w:tcW w:w="1000" w:type="dxa"/>
            <w:vAlign w:val="bottom"/>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248,776</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100,367</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Borders>
              <w:bottom w:val="single" w:sz="8" w:color="auto"/>
            </w:tcBorders>
            <w:shd w:val="clear" w:color="auto" w:fill="B6B6B6"/>
          </w:tcPr>
          <w:p>
            <w:pPr>
              <w:spacing w:after="0"/>
              <w:rPr>
                <w:sz w:val="19"/>
                <w:szCs w:val="19"/>
                <w:color w:val="auto"/>
              </w:rPr>
            </w:pPr>
          </w:p>
        </w:tc>
        <w:tc>
          <w:tcPr>
            <w:tcW w:w="1380" w:type="dxa"/>
            <w:vAlign w:val="bottom"/>
            <w:tcBorders>
              <w:bottom w:val="single" w:sz="8" w:color="auto"/>
            </w:tcBorders>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203,943</w:t>
            </w:r>
          </w:p>
        </w:tc>
        <w:tc>
          <w:tcPr>
            <w:tcW w:w="96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14.48</w:t>
            </w:r>
          </w:p>
        </w:tc>
        <w:tc>
          <w:tcPr>
            <w:tcW w:w="220" w:type="dxa"/>
            <w:vAlign w:val="bottom"/>
            <w:tcBorders>
              <w:bottom w:val="single" w:sz="8" w:color="auto"/>
            </w:tcBorders>
            <w:shd w:val="clear" w:color="auto" w:fill="B6B6B6"/>
          </w:tcPr>
          <w:p>
            <w:pPr>
              <w:spacing w:after="0"/>
              <w:rPr>
                <w:sz w:val="19"/>
                <w:szCs w:val="19"/>
                <w:color w:val="auto"/>
              </w:rPr>
            </w:pPr>
          </w:p>
        </w:tc>
        <w:tc>
          <w:tcPr>
            <w:tcW w:w="1400" w:type="dxa"/>
            <w:vAlign w:val="bottom"/>
            <w:tcBorders>
              <w:bottom w:val="single" w:sz="8" w:color="auto"/>
            </w:tcBorders>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rPr>
              <w:t>56,357</w:t>
            </w:r>
          </w:p>
        </w:tc>
        <w:tc>
          <w:tcPr>
            <w:tcW w:w="1060" w:type="dxa"/>
            <w:vAlign w:val="bottom"/>
            <w:tcBorders>
              <w:bottom w:val="single" w:sz="8" w:color="auto"/>
            </w:tcBorders>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tcBorders>
              <w:bottom w:val="single" w:sz="8" w:color="auto"/>
            </w:tcBorders>
            <w:shd w:val="clear" w:color="auto" w:fill="B6B6B6"/>
          </w:tcPr>
          <w:p>
            <w:pPr>
              <w:spacing w:after="0"/>
              <w:rPr>
                <w:sz w:val="19"/>
                <w:szCs w:val="19"/>
                <w:color w:val="auto"/>
              </w:rPr>
            </w:pPr>
          </w:p>
        </w:tc>
        <w:tc>
          <w:tcPr>
            <w:tcW w:w="880" w:type="dxa"/>
            <w:vAlign w:val="bottom"/>
            <w:tcBorders>
              <w:bottom w:val="single" w:sz="8" w:color="auto"/>
            </w:tcBorders>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70,446</w:t>
            </w:r>
          </w:p>
        </w:tc>
        <w:tc>
          <w:tcPr>
            <w:tcW w:w="10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or Not Yet Adopted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July 2025, the FASB issued Accounting Standards Update 2025-05, </w:t>
      </w:r>
      <w:r>
        <w:rPr>
          <w:rFonts w:ascii="Times New Roman" w:cs="Times New Roman" w:eastAsia="Times New Roman" w:hAnsi="Times New Roman"/>
          <w:sz w:val="18"/>
          <w:szCs w:val="18"/>
          <w:i w:val="1"/>
          <w:iCs w:val="1"/>
          <w:color w:val="auto"/>
        </w:rPr>
        <w:t>Financial Instruments - Credit Losses (Topic 326): Measurement of Credit Losses</w:t>
      </w:r>
    </w:p>
    <w:p>
      <w:pPr>
        <w:spacing w:after="0" w:line="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for Accounts Receivable and Contract Asset</w:t>
      </w:r>
      <w:r>
        <w:rPr>
          <w:rFonts w:ascii="Times New Roman" w:cs="Times New Roman" w:eastAsia="Times New Roman" w:hAnsi="Times New Roman"/>
          <w:sz w:val="18"/>
          <w:szCs w:val="18"/>
          <w:color w:val="auto"/>
        </w:rPr>
        <w:t>s ("ASU 2025-05"). ASU 2025-05 provides the option to elect a practical expedient to assume that the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as of the balance sheet date will remain unchanged for the remaining life of the asset when developing a reasonable and supportable forecast as part of estimating expected credit losses on these assets. ASU 2025-05 was effective for the Company on January 1, 2026 and did not have a material impact on its consolidated financial statements.</w:t>
      </w:r>
    </w:p>
    <w:p>
      <w:pPr>
        <w:spacing w:after="0" w:line="2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In September 2025, the FASB issued Accounting Standards Update 2025-06, </w:t>
      </w:r>
      <w:r>
        <w:rPr>
          <w:rFonts w:ascii="Times New Roman" w:cs="Times New Roman" w:eastAsia="Times New Roman" w:hAnsi="Times New Roman"/>
          <w:sz w:val="18"/>
          <w:szCs w:val="18"/>
          <w:i w:val="1"/>
          <w:iCs w:val="1"/>
          <w:color w:val="auto"/>
        </w:rPr>
        <w:t>Intangibles - Goodwill and Other - Internal-Use Software (Subtopic 350-40),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Targeted Improvements to the Accounting for Internal-Use Software </w:t>
      </w:r>
      <w:r>
        <w:rPr>
          <w:rFonts w:ascii="Times New Roman" w:cs="Times New Roman" w:eastAsia="Times New Roman" w:hAnsi="Times New Roman"/>
          <w:sz w:val="18"/>
          <w:szCs w:val="18"/>
          <w:color w:val="auto"/>
        </w:rPr>
        <w:t>("ASU 2025-06"). ASU 2025-06 clarified and modernizes the accounting for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internal-use software. The amendments in ASU 2025-06 remove all references to project stages throughout Subtopic 350-40 and clarify the threshold entities apply to begin capitalizing costs. ASU 2025-06 is effective for the Company for fiscal years beginning after December 15, 2027 and interim periods within those fiscal years. The Company is currently evaluating the impact of adoption of ASU 2025-06 on its consolidated financial statements.</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In December 2025, the FASB issued Accounting Standards Update 2025-11, </w:t>
      </w:r>
      <w:r>
        <w:rPr>
          <w:rFonts w:ascii="Times New Roman" w:cs="Times New Roman" w:eastAsia="Times New Roman" w:hAnsi="Times New Roman"/>
          <w:sz w:val="18"/>
          <w:szCs w:val="18"/>
          <w:i w:val="1"/>
          <w:iCs w:val="1"/>
          <w:color w:val="auto"/>
        </w:rPr>
        <w:t>Interim Reporting (Topic 720): Narrow-Scope Improvements</w:t>
      </w:r>
      <w:r>
        <w:rPr>
          <w:rFonts w:ascii="Times New Roman" w:cs="Times New Roman" w:eastAsia="Times New Roman" w:hAnsi="Times New Roman"/>
          <w:sz w:val="18"/>
          <w:szCs w:val="18"/>
          <w:color w:val="auto"/>
        </w:rPr>
        <w:t xml:space="preserve"> ("ASU 2025-11"). ASU 2025-11 clarifies and enhances guidance under ASC 720 on interim financial reporting by (i) clarifying the scope of ASC 270 such that it now explicitly applies only to entities that issue complete interim financial statements and related notes under U.S. GAAP, (ii) establishing clear guidance on the form of interim statements and notes, incorporating a comprehensive list of required interim disclosures drawn from across the ASC, and (iii) introducing a requirement to disclose material events and changes occurring after the end of the last annual period that could impact interim results. ASU 2025-11 will be effective for the Company for interim periods beginning in 2028, though early adoption is permitted. The Company does not expect the adoption of 2025-11 to have a material impact on its consolidated financial statements.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prepared the consolidated financial statements in this report in accordance with the Financial Accounting Standards Board Accounting Standards Codification.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The accounting policy that requires significant management estimates and is deemed critical to the Company’s results of operations or financial position has been discussed with the Audit and Risk Committee of the Board of Directors and is described below.</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Allowance for Credit Losses. </w:t>
      </w:r>
      <w:r>
        <w:rPr>
          <w:rFonts w:ascii="Times New Roman" w:cs="Times New Roman" w:eastAsia="Times New Roman" w:hAnsi="Times New Roman"/>
          <w:sz w:val="18"/>
          <w:szCs w:val="18"/>
          <w:color w:val="auto"/>
        </w:rPr>
        <w:t>The Company performs periodic and systematic detailed reviews of its loan portfolio to determine management’s estimate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lifetime expected credit losses.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Credit Losses and Allowance for Unfunded Commitments” section of this report.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the Company’s 2025 Form 10-K for the year ended December 31, 2025, the Company manages its interest rate risk through measurement techniques that include gap analysis and a simulation model. As part of the risk management process, asset/liability management policies are established and monitored by management.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simulated changes in net interest income versus unchanged rates over the next 12 months as of March 31, 2026 and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gridSpan w:val="4"/>
          </w:tcPr>
          <w:p>
            <w:pPr>
              <w:ind w:left="2040"/>
              <w:spacing w:after="0"/>
              <w:rPr>
                <w:sz w:val="20"/>
                <w:szCs w:val="20"/>
                <w:color w:val="auto"/>
              </w:rPr>
            </w:pPr>
            <w:r>
              <w:rPr>
                <w:rFonts w:ascii="Times New Roman" w:cs="Times New Roman" w:eastAsia="Times New Roman" w:hAnsi="Times New Roman"/>
                <w:sz w:val="18"/>
                <w:szCs w:val="18"/>
                <w:b w:val="1"/>
                <w:bCs w:val="1"/>
                <w:color w:val="auto"/>
              </w:rPr>
              <w:t>% change in projected net interest income</w:t>
            </w:r>
          </w:p>
        </w:tc>
        <w:tc>
          <w:tcPr>
            <w:tcW w:w="860" w:type="dxa"/>
            <w:vAlign w:val="bottom"/>
            <w:tcBorders>
              <w:bottom w:val="single" w:sz="8" w:color="auto"/>
            </w:tcBorders>
          </w:tcPr>
          <w:p>
            <w:pPr>
              <w:spacing w:after="0"/>
              <w:rPr>
                <w:sz w:val="20"/>
                <w:szCs w:val="20"/>
                <w:color w:val="auto"/>
              </w:rPr>
            </w:pPr>
          </w:p>
        </w:tc>
      </w:tr>
      <w:tr>
        <w:trPr>
          <w:trHeight w:val="223"/>
        </w:trPr>
        <w:tc>
          <w:tcPr>
            <w:tcW w:w="3400" w:type="dxa"/>
            <w:vAlign w:val="bottom"/>
            <w:tcBorders>
              <w:bottom w:val="single" w:sz="8" w:color="B6B6B6"/>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27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20" w:type="dxa"/>
            <w:vAlign w:val="bottom"/>
            <w:tcBorders>
              <w:bottom w:val="single" w:sz="8" w:color="auto"/>
            </w:tcBorders>
          </w:tcPr>
          <w:p>
            <w:pPr>
              <w:spacing w:after="0"/>
              <w:rPr>
                <w:sz w:val="19"/>
                <w:szCs w:val="19"/>
                <w:color w:val="auto"/>
              </w:rPr>
            </w:pPr>
          </w:p>
        </w:tc>
        <w:tc>
          <w:tcPr>
            <w:tcW w:w="180" w:type="dxa"/>
            <w:vAlign w:val="bottom"/>
            <w:tcBorders>
              <w:bottom w:val="single" w:sz="8" w:color="B6B6B6"/>
            </w:tcBorders>
          </w:tcPr>
          <w:p>
            <w:pPr>
              <w:spacing w:after="0"/>
              <w:rPr>
                <w:sz w:val="19"/>
                <w:szCs w:val="19"/>
                <w:color w:val="auto"/>
              </w:rPr>
            </w:pPr>
          </w:p>
        </w:tc>
        <w:tc>
          <w:tcPr>
            <w:tcW w:w="27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860" w:type="dxa"/>
            <w:vAlign w:val="bottom"/>
            <w:tcBorders>
              <w:bottom w:val="single" w:sz="8" w:color="auto"/>
            </w:tcBorders>
          </w:tcPr>
          <w:p>
            <w:pPr>
              <w:spacing w:after="0"/>
              <w:rPr>
                <w:sz w:val="19"/>
                <w:szCs w:val="19"/>
                <w:color w:val="auto"/>
              </w:rPr>
            </w:pPr>
          </w:p>
        </w:tc>
      </w:tr>
      <w:tr>
        <w:trPr>
          <w:trHeight w:val="223"/>
        </w:trPr>
        <w:tc>
          <w:tcPr>
            <w:tcW w:w="350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+300 basis points</w:t>
            </w:r>
          </w:p>
        </w:tc>
        <w:tc>
          <w:tcPr>
            <w:tcW w:w="2780" w:type="dxa"/>
            <w:vAlign w:val="bottom"/>
            <w:shd w:val="clear" w:color="auto" w:fill="B6B6B6"/>
          </w:tcPr>
          <w:p>
            <w:pPr>
              <w:spacing w:after="0"/>
              <w:rPr>
                <w:sz w:val="19"/>
                <w:szCs w:val="19"/>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80" w:type="dxa"/>
            <w:vAlign w:val="bottom"/>
            <w:shd w:val="clear" w:color="auto" w:fill="B6B6B6"/>
          </w:tcPr>
          <w:p>
            <w:pPr>
              <w:spacing w:after="0"/>
              <w:rPr>
                <w:sz w:val="19"/>
                <w:szCs w:val="19"/>
                <w:color w:val="auto"/>
              </w:rPr>
            </w:pPr>
          </w:p>
        </w:tc>
        <w:tc>
          <w:tcPr>
            <w:tcW w:w="2780" w:type="dxa"/>
            <w:vAlign w:val="bottom"/>
            <w:shd w:val="clear" w:color="auto" w:fill="B6B6B6"/>
          </w:tcPr>
          <w:p>
            <w:pPr>
              <w:spacing w:after="0"/>
              <w:rPr>
                <w:sz w:val="19"/>
                <w:szCs w:val="19"/>
                <w:color w:val="auto"/>
              </w:rPr>
            </w:pP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10.7 %</w:t>
            </w:r>
          </w:p>
        </w:tc>
      </w:tr>
      <w:tr>
        <w:trPr>
          <w:trHeight w:val="229"/>
        </w:trPr>
        <w:tc>
          <w:tcPr>
            <w:tcW w:w="6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29"/>
        </w:trPr>
        <w:tc>
          <w:tcPr>
            <w:tcW w:w="6280" w:type="dxa"/>
            <w:vAlign w:val="bottom"/>
            <w:gridSpan w:val="3"/>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80" w:type="dxa"/>
            <w:vAlign w:val="bottom"/>
            <w:shd w:val="clear" w:color="auto" w:fill="B6B6B6"/>
          </w:tcPr>
          <w:p>
            <w:pPr>
              <w:spacing w:after="0"/>
              <w:rPr>
                <w:sz w:val="19"/>
                <w:szCs w:val="19"/>
                <w:color w:val="auto"/>
              </w:rPr>
            </w:pPr>
          </w:p>
        </w:tc>
        <w:tc>
          <w:tcPr>
            <w:tcW w:w="2780" w:type="dxa"/>
            <w:vAlign w:val="bottom"/>
            <w:shd w:val="clear" w:color="auto" w:fill="B6B6B6"/>
          </w:tcPr>
          <w:p>
            <w:pPr>
              <w:spacing w:after="0"/>
              <w:rPr>
                <w:sz w:val="19"/>
                <w:szCs w:val="19"/>
                <w:color w:val="auto"/>
              </w:rPr>
            </w:pP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30"/>
        </w:trPr>
        <w:tc>
          <w:tcPr>
            <w:tcW w:w="6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Flat rates</w:t>
            </w:r>
          </w:p>
        </w:tc>
        <w:tc>
          <w:tcPr>
            <w:tcW w:w="3780" w:type="dxa"/>
            <w:vAlign w:val="bottom"/>
            <w:gridSpan w:val="3"/>
          </w:tcPr>
          <w:p>
            <w:pPr>
              <w:jc w:val="right"/>
              <w:ind w:right="287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6280" w:type="dxa"/>
            <w:vAlign w:val="bottom"/>
            <w:gridSpan w:val="3"/>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80" w:type="dxa"/>
            <w:vAlign w:val="bottom"/>
            <w:shd w:val="clear" w:color="auto" w:fill="B6B6B6"/>
          </w:tcPr>
          <w:p>
            <w:pPr>
              <w:spacing w:after="0"/>
              <w:rPr>
                <w:sz w:val="19"/>
                <w:szCs w:val="19"/>
                <w:color w:val="auto"/>
              </w:rPr>
            </w:pPr>
          </w:p>
        </w:tc>
        <w:tc>
          <w:tcPr>
            <w:tcW w:w="2780" w:type="dxa"/>
            <w:vAlign w:val="bottom"/>
            <w:shd w:val="clear" w:color="auto" w:fill="B6B6B6"/>
          </w:tcPr>
          <w:p>
            <w:pPr>
              <w:spacing w:after="0"/>
              <w:rPr>
                <w:sz w:val="19"/>
                <w:szCs w:val="19"/>
                <w:color w:val="auto"/>
              </w:rPr>
            </w:pP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6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6280" w:type="dxa"/>
            <w:vAlign w:val="bottom"/>
            <w:gridSpan w:val="3"/>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-300 basis points</w:t>
            </w: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80" w:type="dxa"/>
            <w:vAlign w:val="bottom"/>
            <w:shd w:val="clear" w:color="auto" w:fill="B6B6B6"/>
          </w:tcPr>
          <w:p>
            <w:pPr>
              <w:spacing w:after="0"/>
              <w:rPr>
                <w:sz w:val="19"/>
                <w:szCs w:val="19"/>
                <w:color w:val="auto"/>
              </w:rPr>
            </w:pPr>
          </w:p>
        </w:tc>
        <w:tc>
          <w:tcPr>
            <w:tcW w:w="2780" w:type="dxa"/>
            <w:vAlign w:val="bottom"/>
            <w:shd w:val="clear" w:color="auto" w:fill="B6B6B6"/>
          </w:tcPr>
          <w:p>
            <w:pPr>
              <w:spacing w:after="0"/>
              <w:rPr>
                <w:sz w:val="19"/>
                <w:szCs w:val="19"/>
                <w:color w:val="auto"/>
              </w:rPr>
            </w:pP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(10.6)%</w:t>
            </w: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generally asset sensitive as average interest-earning assets of $2.21 billion for the first quarter of 2026 greatly exceeded average interest-bearing liabilities of $652.3 million. The table above on the projected impact of interest rate shocks results from a static balance sheet at March 31, 2026. Primarily as a result of $145.0 million in short-term borrowings at March 31, 2026, the simulated changes in projected net interest income from a static balance sheet are not indicative of what would occur in the next 12 months as the Company is not forecasting a significant balance in average short-term borrowings for the remainder of 2026. The Company believes that the interest rate shock results shown for December 31, 2025 are more indicative of what would happen in the various interest rate scenarios.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under the supervision and with the participation of the principal executive officer and the principal financial officer, evaluated the effectiveness of the Company’s disclosure controls and procedures (as defined in Rules 13a-15(e) and 15d-15(e) under the Securities Exchange Act of 1934, as amended) as of the end of the period covered by this report and concluded that, as of such date, these controls and procedures were effective.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the first quarter of 2026 in the Company's internal control over financial reporting identified by the Company’s principal executive officer and principal financial officer in connection with their evaluation that materially affected or are reasonably likely to materially affect the Company’s internal control over financial reporting (as defined in Rules 13a-15(f) and 15d-15(f) under the Securities Exchange Act of 1934, as amended).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the subject of various pending or threatened legal actions and proceedings, including those that arise in the ordinary course of business. Management believes the outcome of all such proceedings will not have a material effect on the businesses or financial conditions of the Company or its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included in Part I, Item 1A of its 2025 Form 10-K, a description of certain risks and uncertainties that could affect the Company’s business, future performance or financial condition (the “Risk Factors”). There are no material changes to the Risk Factors as disclosed in the Company’s 2025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the Company repurchased shares of its common stock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9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0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w w:val="97"/>
              </w:rPr>
              <w:t>of Shares</w:t>
            </w:r>
          </w:p>
        </w:tc>
        <w:tc>
          <w:tcPr>
            <w:tcW w:w="1420" w:type="dxa"/>
            <w:vAlign w:val="bottom"/>
          </w:tcPr>
          <w:p>
            <w:pPr>
              <w:jc w:val="right"/>
              <w:ind w:right="270"/>
              <w:spacing w:after="0" w:line="184" w:lineRule="exact"/>
              <w:rPr>
                <w:sz w:val="20"/>
                <w:szCs w:val="20"/>
                <w:color w:val="auto"/>
              </w:rPr>
            </w:pPr>
            <w:r>
              <w:rPr>
                <w:rFonts w:ascii="Times New Roman" w:cs="Times New Roman" w:eastAsia="Times New Roman" w:hAnsi="Times New Roman"/>
                <w:sz w:val="18"/>
                <w:szCs w:val="18"/>
                <w:b w:val="1"/>
                <w:bCs w:val="1"/>
                <w:color w:val="auto"/>
              </w:rPr>
              <w:t>Maximum</w:t>
            </w:r>
          </w:p>
        </w:tc>
        <w:tc>
          <w:tcPr>
            <w:tcW w:w="0" w:type="dxa"/>
            <w:vAlign w:val="bottom"/>
          </w:tcPr>
          <w:p>
            <w:pPr>
              <w:spacing w:after="0"/>
              <w:rPr>
                <w:sz w:val="1"/>
                <w:szCs w:val="1"/>
                <w:color w:val="auto"/>
              </w:rPr>
            </w:pPr>
          </w:p>
        </w:tc>
      </w:tr>
      <w:tr>
        <w:trPr>
          <w:trHeight w:val="203"/>
        </w:trPr>
        <w:tc>
          <w:tcPr>
            <w:tcW w:w="39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rPr>
              <w:t>Purchased as</w:t>
            </w:r>
          </w:p>
        </w:tc>
        <w:tc>
          <w:tcPr>
            <w:tcW w:w="14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153"/>
        </w:trPr>
        <w:tc>
          <w:tcPr>
            <w:tcW w:w="39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42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rPr>
              <w:t>Shares that</w:t>
            </w:r>
          </w:p>
        </w:tc>
        <w:tc>
          <w:tcPr>
            <w:tcW w:w="0" w:type="dxa"/>
            <w:vAlign w:val="bottom"/>
          </w:tcPr>
          <w:p>
            <w:pPr>
              <w:spacing w:after="0"/>
              <w:rPr>
                <w:sz w:val="1"/>
                <w:szCs w:val="1"/>
                <w:color w:val="auto"/>
              </w:rPr>
            </w:pPr>
          </w:p>
        </w:tc>
      </w:tr>
      <w:tr>
        <w:trPr>
          <w:trHeight w:val="81"/>
        </w:trPr>
        <w:tc>
          <w:tcPr>
            <w:tcW w:w="3960" w:type="dxa"/>
            <w:vAlign w:val="bottom"/>
          </w:tcPr>
          <w:p>
            <w:pPr>
              <w:spacing w:after="0"/>
              <w:rPr>
                <w:sz w:val="7"/>
                <w:szCs w:val="7"/>
                <w:color w:val="auto"/>
              </w:rPr>
            </w:pPr>
          </w:p>
        </w:tc>
        <w:tc>
          <w:tcPr>
            <w:tcW w:w="2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142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6"/>
              </w:rPr>
              <w:t>May Yet Be</w:t>
            </w:r>
          </w:p>
        </w:tc>
        <w:tc>
          <w:tcPr>
            <w:tcW w:w="0" w:type="dxa"/>
            <w:vAlign w:val="bottom"/>
          </w:tcPr>
          <w:p>
            <w:pPr>
              <w:spacing w:after="0"/>
              <w:rPr>
                <w:sz w:val="1"/>
                <w:szCs w:val="1"/>
                <w:color w:val="auto"/>
              </w:rPr>
            </w:pPr>
          </w:p>
        </w:tc>
      </w:tr>
      <w:tr>
        <w:trPr>
          <w:trHeight w:val="103"/>
        </w:trPr>
        <w:tc>
          <w:tcPr>
            <w:tcW w:w="396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00" w:type="dxa"/>
            <w:vAlign w:val="bottom"/>
            <w:vMerge w:val="restart"/>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8"/>
              </w:rPr>
              <w:t>Publicly</w:t>
            </w: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960" w:type="dxa"/>
            <w:vAlign w:val="bottom"/>
          </w:tcPr>
          <w:p>
            <w:pPr>
              <w:spacing w:after="0"/>
              <w:rPr>
                <w:sz w:val="8"/>
                <w:szCs w:val="8"/>
                <w:color w:val="auto"/>
              </w:rPr>
            </w:pPr>
          </w:p>
        </w:tc>
        <w:tc>
          <w:tcPr>
            <w:tcW w:w="2460" w:type="dxa"/>
            <w:vAlign w:val="bottom"/>
            <w:vMerge w:val="restart"/>
          </w:tcPr>
          <w:p>
            <w:pPr>
              <w:jc w:val="center"/>
              <w:ind w:left="850"/>
              <w:spacing w:after="0" w:line="189"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142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Purchased</w:t>
            </w:r>
          </w:p>
        </w:tc>
        <w:tc>
          <w:tcPr>
            <w:tcW w:w="0" w:type="dxa"/>
            <w:vAlign w:val="bottom"/>
          </w:tcPr>
          <w:p>
            <w:pPr>
              <w:spacing w:after="0"/>
              <w:rPr>
                <w:sz w:val="1"/>
                <w:szCs w:val="1"/>
                <w:color w:val="auto"/>
              </w:rPr>
            </w:pPr>
          </w:p>
        </w:tc>
      </w:tr>
      <w:tr>
        <w:trPr>
          <w:trHeight w:val="90"/>
        </w:trPr>
        <w:tc>
          <w:tcPr>
            <w:tcW w:w="3960" w:type="dxa"/>
            <w:vAlign w:val="bottom"/>
          </w:tcPr>
          <w:p>
            <w:pPr>
              <w:spacing w:after="0"/>
              <w:rPr>
                <w:sz w:val="7"/>
                <w:szCs w:val="7"/>
                <w:color w:val="auto"/>
              </w:rPr>
            </w:pPr>
          </w:p>
        </w:tc>
        <w:tc>
          <w:tcPr>
            <w:tcW w:w="24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7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960" w:type="dxa"/>
            <w:vAlign w:val="bottom"/>
          </w:tcPr>
          <w:p>
            <w:pPr>
              <w:spacing w:after="0"/>
              <w:rPr>
                <w:sz w:val="10"/>
                <w:szCs w:val="10"/>
                <w:color w:val="auto"/>
              </w:rPr>
            </w:pPr>
          </w:p>
        </w:tc>
        <w:tc>
          <w:tcPr>
            <w:tcW w:w="2460" w:type="dxa"/>
            <w:vAlign w:val="bottom"/>
            <w:vMerge w:val="restart"/>
          </w:tcPr>
          <w:p>
            <w:pPr>
              <w:jc w:val="center"/>
              <w:ind w:left="890"/>
              <w:spacing w:after="0" w:line="176"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42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Under the</w:t>
            </w:r>
          </w:p>
        </w:tc>
        <w:tc>
          <w:tcPr>
            <w:tcW w:w="0" w:type="dxa"/>
            <w:vAlign w:val="bottom"/>
          </w:tcPr>
          <w:p>
            <w:pPr>
              <w:spacing w:after="0"/>
              <w:rPr>
                <w:sz w:val="1"/>
                <w:szCs w:val="1"/>
                <w:color w:val="auto"/>
              </w:rPr>
            </w:pPr>
          </w:p>
        </w:tc>
      </w:tr>
      <w:tr>
        <w:trPr>
          <w:trHeight w:val="49"/>
        </w:trPr>
        <w:tc>
          <w:tcPr>
            <w:tcW w:w="396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7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3960" w:type="dxa"/>
            <w:vAlign w:val="bottom"/>
            <w:vMerge w:val="restart"/>
          </w:tcPr>
          <w:p>
            <w:pPr>
              <w:ind w:left="22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460" w:type="dxa"/>
            <w:vAlign w:val="bottom"/>
          </w:tcPr>
          <w:p>
            <w:pPr>
              <w:jc w:val="center"/>
              <w:ind w:left="8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Plans or</w:t>
            </w:r>
          </w:p>
        </w:tc>
        <w:tc>
          <w:tcPr>
            <w:tcW w:w="0" w:type="dxa"/>
            <w:vAlign w:val="bottom"/>
          </w:tcPr>
          <w:p>
            <w:pPr>
              <w:spacing w:after="0"/>
              <w:rPr>
                <w:sz w:val="1"/>
                <w:szCs w:val="1"/>
                <w:color w:val="auto"/>
              </w:rPr>
            </w:pPr>
          </w:p>
        </w:tc>
      </w:tr>
      <w:tr>
        <w:trPr>
          <w:trHeight w:val="243"/>
        </w:trPr>
        <w:tc>
          <w:tcPr>
            <w:tcW w:w="3960" w:type="dxa"/>
            <w:vAlign w:val="bottom"/>
            <w:tcBorders>
              <w:bottom w:val="single" w:sz="8" w:color="auto"/>
            </w:tcBorders>
            <w:vMerge w:val="continue"/>
          </w:tcPr>
          <w:p>
            <w:pPr>
              <w:spacing w:after="0"/>
              <w:rPr>
                <w:sz w:val="21"/>
                <w:szCs w:val="21"/>
                <w:color w:val="auto"/>
              </w:rPr>
            </w:pPr>
          </w:p>
        </w:tc>
        <w:tc>
          <w:tcPr>
            <w:tcW w:w="2460" w:type="dxa"/>
            <w:vAlign w:val="bottom"/>
            <w:tcBorders>
              <w:bottom w:val="single" w:sz="8" w:color="auto"/>
            </w:tcBorders>
          </w:tcPr>
          <w:p>
            <w:pPr>
              <w:jc w:val="center"/>
              <w:ind w:left="910"/>
              <w:spacing w:after="0" w:line="243" w:lineRule="exact"/>
              <w:rPr>
                <w:sz w:val="20"/>
                <w:szCs w:val="20"/>
                <w:color w:val="auto"/>
              </w:rPr>
            </w:pPr>
            <w:r>
              <w:rPr>
                <w:rFonts w:ascii="Times New Roman" w:cs="Times New Roman" w:eastAsia="Times New Roman" w:hAnsi="Times New Roman"/>
                <w:sz w:val="18"/>
                <w:szCs w:val="18"/>
                <w:b w:val="1"/>
                <w:bCs w:val="1"/>
                <w:color w:val="auto"/>
                <w:w w:val="95"/>
              </w:rPr>
              <w:t>Purchased</w:t>
            </w:r>
            <w:r>
              <w:rPr>
                <w:rFonts w:ascii="Times New Roman" w:cs="Times New Roman" w:eastAsia="Times New Roman" w:hAnsi="Times New Roman"/>
                <w:sz w:val="23"/>
                <w:szCs w:val="23"/>
                <w:b w:val="1"/>
                <w:bCs w:val="1"/>
                <w:color w:val="auto"/>
                <w:w w:val="95"/>
                <w:vertAlign w:val="superscript"/>
              </w:rPr>
              <w:t>(1)</w:t>
            </w: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700" w:type="dxa"/>
            <w:vAlign w:val="bottom"/>
            <w:tcBorders>
              <w:bottom w:val="single" w:sz="8" w:color="auto"/>
            </w:tcBorders>
          </w:tcPr>
          <w:p>
            <w:pPr>
              <w:jc w:val="center"/>
              <w:ind w:right="70"/>
              <w:spacing w:after="0" w:line="243" w:lineRule="exact"/>
              <w:rPr>
                <w:sz w:val="20"/>
                <w:szCs w:val="20"/>
                <w:color w:val="auto"/>
              </w:rPr>
            </w:pPr>
            <w:r>
              <w:rPr>
                <w:rFonts w:ascii="Times New Roman" w:cs="Times New Roman" w:eastAsia="Times New Roman" w:hAnsi="Times New Roman"/>
                <w:sz w:val="18"/>
                <w:szCs w:val="18"/>
                <w:b w:val="1"/>
                <w:bCs w:val="1"/>
                <w:color w:val="auto"/>
                <w:w w:val="95"/>
              </w:rPr>
              <w:t>Programs</w:t>
            </w:r>
            <w:r>
              <w:rPr>
                <w:rFonts w:ascii="Times New Roman" w:cs="Times New Roman" w:eastAsia="Times New Roman" w:hAnsi="Times New Roman"/>
                <w:sz w:val="23"/>
                <w:szCs w:val="23"/>
                <w:b w:val="1"/>
                <w:bCs w:val="1"/>
                <w:color w:val="auto"/>
                <w:w w:val="95"/>
                <w:vertAlign w:val="superscript"/>
              </w:rPr>
              <w:t>(2)</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250"/>
        </w:trPr>
        <w:tc>
          <w:tcPr>
            <w:tcW w:w="39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January 1, 2026–January 31, 2026</w:t>
            </w:r>
          </w:p>
        </w:tc>
        <w:tc>
          <w:tcPr>
            <w:tcW w:w="24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23,673</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44.25</w:t>
            </w:r>
          </w:p>
        </w:tc>
        <w:tc>
          <w:tcPr>
            <w:tcW w:w="170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874,970</w:t>
            </w:r>
          </w:p>
        </w:tc>
        <w:tc>
          <w:tcPr>
            <w:tcW w:w="0" w:type="dxa"/>
            <w:vAlign w:val="bottom"/>
          </w:tcPr>
          <w:p>
            <w:pPr>
              <w:spacing w:after="0"/>
              <w:rPr>
                <w:sz w:val="1"/>
                <w:szCs w:val="1"/>
                <w:color w:val="auto"/>
              </w:rPr>
            </w:pPr>
          </w:p>
        </w:tc>
      </w:tr>
      <w:tr>
        <w:trPr>
          <w:trHeight w:val="25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2026–February 28, 2026</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33,243</w:t>
            </w:r>
          </w:p>
        </w:tc>
        <w:tc>
          <w:tcPr>
            <w:tcW w:w="22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45.07</w:t>
            </w: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33,243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841,727</w:t>
            </w:r>
          </w:p>
        </w:tc>
        <w:tc>
          <w:tcPr>
            <w:tcW w:w="0" w:type="dxa"/>
            <w:vAlign w:val="bottom"/>
          </w:tcPr>
          <w:p>
            <w:pPr>
              <w:spacing w:after="0"/>
              <w:rPr>
                <w:sz w:val="1"/>
                <w:szCs w:val="1"/>
                <w:color w:val="auto"/>
              </w:rPr>
            </w:pPr>
          </w:p>
        </w:tc>
      </w:tr>
      <w:tr>
        <w:trPr>
          <w:trHeight w:val="257"/>
        </w:trPr>
        <w:tc>
          <w:tcPr>
            <w:tcW w:w="39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March 1, 2026–March 31, 2026</w:t>
            </w:r>
          </w:p>
        </w:tc>
        <w:tc>
          <w:tcPr>
            <w:tcW w:w="24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31,559</w:t>
            </w:r>
          </w:p>
        </w:tc>
        <w:tc>
          <w:tcPr>
            <w:tcW w:w="220" w:type="dxa"/>
            <w:vAlign w:val="bottom"/>
            <w:tcBorders>
              <w:bottom w:val="single" w:sz="8" w:color="auto"/>
            </w:tcBorders>
            <w:shd w:val="clear" w:color="auto" w:fill="B6B6B6"/>
          </w:tcPr>
          <w:p>
            <w:pPr>
              <w:spacing w:after="0"/>
              <w:rPr>
                <w:sz w:val="22"/>
                <w:szCs w:val="22"/>
                <w:color w:val="auto"/>
              </w:rPr>
            </w:pPr>
          </w:p>
        </w:tc>
        <w:tc>
          <w:tcPr>
            <w:tcW w:w="148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45.04</w:t>
            </w:r>
          </w:p>
        </w:tc>
        <w:tc>
          <w:tcPr>
            <w:tcW w:w="170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31,559</w:t>
            </w:r>
          </w:p>
        </w:tc>
        <w:tc>
          <w:tcPr>
            <w:tcW w:w="14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810,168</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88,475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44.84</w:t>
            </w:r>
          </w:p>
        </w:tc>
        <w:tc>
          <w:tcPr>
            <w:tcW w:w="1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64,802</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810,168</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right="20" w:hanging="332"/>
        <w:spacing w:after="0" w:line="261"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March 31, 2026, there were 64,802 shares repurchased pursuant to the Company's publicly announced treasury stock buyback program and 23,673 shares transferred from employees in satisfaction of tax withholding obligations upon the vesting of restricted stock.</w:t>
      </w:r>
    </w:p>
    <w:p>
      <w:pPr>
        <w:ind w:left="340" w:hanging="332"/>
        <w:spacing w:after="0" w:line="260"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6, 2025, the Board of Directors authorized the repurchase of up to 1,000,000 shares of the Company's common stock with no expiration date.</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98" w:lineRule="exact"/>
        <w:rPr>
          <w:rFonts w:ascii="Times New Roman" w:cs="Times New Roman" w:eastAsia="Times New Roman" w:hAnsi="Times New Roman"/>
          <w:sz w:val="18"/>
          <w:szCs w:val="18"/>
          <w:color w:val="auto"/>
        </w:rPr>
      </w:pPr>
    </w:p>
    <w:p>
      <w:pPr>
        <w:ind w:left="660" w:right="40" w:hanging="652"/>
        <w:spacing w:after="0" w:line="282"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material changes to the procedures by which security holders may recommend nominees to the Company’s Board of Directors implemented in the first quarter of 2026.</w:t>
      </w:r>
    </w:p>
    <w:p>
      <w:pPr>
        <w:spacing w:after="0" w:line="121" w:lineRule="exact"/>
        <w:rPr>
          <w:rFonts w:ascii="Times New Roman" w:cs="Times New Roman" w:eastAsia="Times New Roman" w:hAnsi="Times New Roman"/>
          <w:sz w:val="18"/>
          <w:szCs w:val="18"/>
          <w:color w:val="auto"/>
        </w:rPr>
      </w:pPr>
    </w:p>
    <w:p>
      <w:pPr>
        <w:ind w:left="660" w:right="460" w:hanging="652"/>
        <w:spacing w:after="0" w:line="282" w:lineRule="auto"/>
        <w:tabs>
          <w:tab w:leader="none" w:pos="6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none of the Company's officers or directors adopted or terminated any "Rule 10b5-1 trading arrangement" or any “non-Rule 10b5-1 trading arrangement,” as such terms are defined under Item 408 of Regulation S-K.</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31.1 Certification Pursuant to Section 302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31.2 Certification Pursuant to Section 302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32.1 Certification Pursuant to 18 U.S.C. Section 1350, as Adopted Pursuant to Section 906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32.2 Certification Pursuant to 18 U.S.C. Section 1350, as Adopted Pursuant to Section 906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Exhibit 101.INS XBRL Instance Document. The instance document does not appear in the Interactive Data File because its XBRL tags are embedded within the Inline XBRL document.</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101.SCH Inline XBRL Taxonomy Extension Schema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101.CAL Inline XBRL Taxonomy Extension Calculation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101.LAB Inline XBRL Taxonomy Extension Label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101.PRE Inline XBRL Taxonomy Extension Presentation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101.DEF Inline XBRL Taxonomy Extension Definition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104 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17" w:right="7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CASS INFORMATION SYSTEMS, INC.</w:t>
      </w:r>
    </w:p>
    <w:p>
      <w:pPr>
        <w:sectPr>
          <w:pgSz w:w="11900" w:h="16838" w:orient="portrait"/>
          <w:cols w:equalWidth="0" w:num="1">
            <w:col w:w="11240"/>
          </w:cols>
          <w:pgMar w:left="320" w:top="117" w:right="339" w:bottom="1440" w:gutter="0" w:footer="0" w:header="0"/>
        </w:sect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May 5, 2026</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2780"/>
        <w:spacing w:after="0"/>
        <w:rPr>
          <w:sz w:val="20"/>
          <w:szCs w:val="20"/>
          <w:color w:val="auto"/>
        </w:rPr>
      </w:pPr>
      <w:r>
        <w:rPr>
          <w:rFonts w:ascii="Times New Roman" w:cs="Times New Roman" w:eastAsia="Times New Roman" w:hAnsi="Times New Roman"/>
          <w:sz w:val="18"/>
          <w:szCs w:val="18"/>
          <w:color w:val="auto"/>
        </w:rPr>
        <w:t>/s/ Martin H. 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-1764665</wp:posOffset>
            </wp:positionH>
            <wp:positionV relativeFrom="paragraph">
              <wp:posOffset>26035</wp:posOffset>
            </wp:positionV>
            <wp:extent cx="44316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3">
            <w:col w:w="3160" w:space="720"/>
            <w:col w:w="2440" w:space="720"/>
            <w:col w:w="4200"/>
          </w:cols>
          <w:pgMar w:left="320" w:top="117" w:right="339" w:bottom="1440" w:gutter="0" w:footer="0" w:header="0"/>
          <w:type w:val="continuous"/>
        </w:sectPr>
      </w:pPr>
    </w:p>
    <w:p>
      <w:pPr>
        <w:jc w:val="center"/>
        <w:ind w:left="4240"/>
        <w:spacing w:after="0"/>
        <w:rPr>
          <w:sz w:val="20"/>
          <w:szCs w:val="20"/>
          <w:color w:val="auto"/>
        </w:rPr>
      </w:pPr>
      <w:r>
        <w:rPr>
          <w:rFonts w:ascii="Times New Roman" w:cs="Times New Roman" w:eastAsia="Times New Roman" w:hAnsi="Times New Roman"/>
          <w:sz w:val="18"/>
          <w:szCs w:val="18"/>
          <w:color w:val="auto"/>
        </w:rPr>
        <w:t>Martin H. Resch</w:t>
      </w:r>
    </w:p>
    <w:p>
      <w:pPr>
        <w:spacing w:after="0" w:line="50"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50"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15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By</w:t>
            </w:r>
          </w:p>
        </w:tc>
        <w:tc>
          <w:tcPr>
            <w:tcW w:w="6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J. Normile</w:t>
            </w:r>
          </w:p>
        </w:tc>
      </w:tr>
      <w:tr>
        <w:trPr>
          <w:trHeight w:val="243"/>
        </w:trPr>
        <w:tc>
          <w:tcPr>
            <w:tcW w:w="26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J. Normile</w:t>
            </w:r>
          </w:p>
        </w:tc>
      </w:tr>
      <w:tr>
        <w:trPr>
          <w:trHeight w:val="256"/>
        </w:trPr>
        <w:tc>
          <w:tcPr>
            <w:tcW w:w="26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57"/>
        </w:trPr>
        <w:tc>
          <w:tcPr>
            <w:tcW w:w="26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r>
        <w:trPr>
          <w:trHeight w:val="918"/>
        </w:trPr>
        <w:tc>
          <w:tcPr>
            <w:tcW w:w="2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980" w:type="dxa"/>
            <w:vAlign w:val="bottom"/>
          </w:tcPr>
          <w:p>
            <w:pPr>
              <w:jc w:val="right"/>
              <w:ind w:right="5370"/>
              <w:spacing w:after="0"/>
              <w:rPr>
                <w:sz w:val="20"/>
                <w:szCs w:val="20"/>
                <w:color w:val="auto"/>
              </w:rPr>
            </w:pPr>
            <w:r>
              <w:rPr>
                <w:rFonts w:ascii="Times New Roman" w:cs="Times New Roman" w:eastAsia="Times New Roman" w:hAnsi="Times New Roman"/>
                <w:sz w:val="18"/>
                <w:szCs w:val="18"/>
                <w:color w:val="auto"/>
              </w:rPr>
              <w:t>-37-</w:t>
            </w:r>
          </w:p>
        </w:tc>
      </w:tr>
    </w:tbl>
    <w:p>
      <w:pPr>
        <w:sectPr>
          <w:pgSz w:w="11900" w:h="16838" w:orient="portrait"/>
          <w:cols w:equalWidth="0" w:num="1">
            <w:col w:w="11240"/>
          </w:cols>
          <w:pgMar w:left="320" w:top="117" w:right="339" w:bottom="1440" w:gutter="0" w:footer="0" w:header="0"/>
          <w:type w:val="continuous"/>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H. Resch,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Cass Information Systems,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5, 2026</w:t>
      </w:r>
    </w:p>
    <w:p>
      <w:pPr>
        <w:spacing w:after="0" w:line="27"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/s/ Martin H. 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Martin H. Resch</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14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Normile,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Cass Information Systems,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5, 2026</w:t>
      </w:r>
    </w:p>
    <w:p>
      <w:pPr>
        <w:spacing w:after="0" w:line="5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J. Normile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and Chief</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14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Cass Information Systems, Inc. (“the Company”) on Form 10-Q for the period ended March 31, 2026 as filed with the Securities and Exchange Commission on the date hereof (the “Report”), I, Martin H. Resch, President and Chief Executive Officer of the Company, certify, pursuant to 18 U.S.C. § 1350, as adopted pursuant to §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/s/ Martin H. 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Martin H. Resch</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May 5, 2026</w:t>
      </w:r>
    </w:p>
    <w:p>
      <w:pPr>
        <w:spacing w:after="0" w:line="31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92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Cass Information Systems, Inc. (“the Company”) on Form 10-Q for the period ended March 31, 2026 as filed with the Securities and Exchange Commission on the date hereof (the “Report”), I, Michael J. Normile, Executive Vice President and Chief Financial Officer of the Company, certify, pursuant to 18 U.S.C. § 1350, as adopted pursuant to §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J. Normile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May 5, 2026</w:t>
      </w:r>
    </w:p>
    <w:p>
      <w:pPr>
        <w:spacing w:after="0" w:line="31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bullet"/>
      <w:start w:val="1"/>
    </w:lvl>
  </w:abstractNum>
  <w:abstractNum w:abstractNumId="3">
    <w:nsid w:val="5BD062C2"/>
    <w:multiLevelType w:val="hybridMultilevel"/>
    <w:lvl w:ilvl="0">
      <w:lvlJc w:val="left"/>
      <w:lvlText w:val="2"/>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2026-05-05T15:51:01Z</dcterms:created>
  <dcterms:modified xsi:type="dcterms:W3CDTF">2026-05-05T15:51:01Z</dcterms:modified>
</cp:coreProperties>
</file>