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_________________</w:t>
      </w: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ind w:left="220"/>
        <w:spacing w:after="0"/>
        <w:tabs>
          <w:tab w:leader="none" w:pos="26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1528445</wp:posOffset>
            </wp:positionH>
            <wp:positionV relativeFrom="paragraph">
              <wp:posOffset>-13970</wp:posOffset>
            </wp:positionV>
            <wp:extent cx="1535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543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66" w:lineRule="exact"/>
        <w:rPr>
          <w:sz w:val="24"/>
          <w:szCs w:val="24"/>
          <w:color w:val="auto"/>
        </w:rPr>
      </w:pPr>
    </w:p>
    <w:p>
      <w:pPr>
        <w:ind w:left="280" w:right="2680" w:hanging="272"/>
        <w:spacing w:after="0" w:line="474" w:lineRule="auto"/>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 to _____________</w:t>
      </w:r>
    </w:p>
    <w:p>
      <w:pPr>
        <w:spacing w:after="0" w:line="1"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5340" w:type="dxa"/>
            <w:vAlign w:val="bottom"/>
          </w:tcPr>
          <w:p>
            <w:pPr>
              <w:jc w:val="center"/>
              <w:ind w:right="2815"/>
              <w:spacing w:after="0"/>
              <w:rPr>
                <w:sz w:val="20"/>
                <w:szCs w:val="20"/>
                <w:color w:val="auto"/>
              </w:rPr>
            </w:pPr>
            <w:r>
              <w:rPr>
                <w:rFonts w:ascii="Arial" w:cs="Arial" w:eastAsia="Arial" w:hAnsi="Arial"/>
                <w:sz w:val="18"/>
                <w:szCs w:val="18"/>
                <w:b w:val="1"/>
                <w:bCs w:val="1"/>
                <w:color w:val="auto"/>
                <w:w w:val="87"/>
              </w:rPr>
              <w:t>Commission File No. 000-20827</w:t>
            </w:r>
          </w:p>
        </w:tc>
      </w:tr>
      <w:tr>
        <w:trPr>
          <w:trHeight w:val="134"/>
        </w:trPr>
        <w:tc>
          <w:tcPr>
            <w:tcW w:w="3240" w:type="dxa"/>
            <w:vAlign w:val="bottom"/>
          </w:tcPr>
          <w:p>
            <w:pPr>
              <w:spacing w:after="0"/>
              <w:rPr>
                <w:sz w:val="11"/>
                <w:szCs w:val="11"/>
                <w:color w:val="auto"/>
              </w:rPr>
            </w:pPr>
          </w:p>
        </w:tc>
        <w:tc>
          <w:tcPr>
            <w:tcW w:w="5340" w:type="dxa"/>
            <w:vAlign w:val="bottom"/>
          </w:tcPr>
          <w:p>
            <w:pPr>
              <w:jc w:val="right"/>
              <w:ind w:right="3495"/>
              <w:spacing w:after="0" w:line="135" w:lineRule="exact"/>
              <w:rPr>
                <w:sz w:val="20"/>
                <w:szCs w:val="20"/>
                <w:color w:val="auto"/>
              </w:rPr>
            </w:pPr>
            <w:r>
              <w:rPr>
                <w:rFonts w:ascii="Arial" w:cs="Arial" w:eastAsia="Arial" w:hAnsi="Arial"/>
                <w:sz w:val="14"/>
                <w:szCs w:val="14"/>
                <w:b w:val="1"/>
                <w:bCs w:val="1"/>
                <w:color w:val="auto"/>
              </w:rPr>
              <w:t>________________</w:t>
            </w:r>
          </w:p>
        </w:tc>
      </w:tr>
      <w:tr>
        <w:trPr>
          <w:trHeight w:val="262"/>
        </w:trPr>
        <w:tc>
          <w:tcPr>
            <w:tcW w:w="8580" w:type="dxa"/>
            <w:vAlign w:val="bottom"/>
            <w:gridSpan w:val="2"/>
          </w:tcPr>
          <w:p>
            <w:pPr>
              <w:ind w:left="2520"/>
              <w:spacing w:after="0"/>
              <w:rPr>
                <w:sz w:val="20"/>
                <w:szCs w:val="20"/>
                <w:color w:val="auto"/>
              </w:rPr>
            </w:pPr>
            <w:r>
              <w:rPr>
                <w:rFonts w:ascii="Arial" w:cs="Arial" w:eastAsia="Arial" w:hAnsi="Arial"/>
                <w:sz w:val="22"/>
                <w:szCs w:val="22"/>
                <w:b w:val="1"/>
                <w:bCs w:val="1"/>
                <w:color w:val="auto"/>
              </w:rPr>
              <w:t>CASS INFORMATION SYSTEMS, INC.</w:t>
            </w:r>
          </w:p>
        </w:tc>
      </w:tr>
      <w:tr>
        <w:trPr>
          <w:trHeight w:val="222"/>
        </w:trPr>
        <w:tc>
          <w:tcPr>
            <w:tcW w:w="858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Missouri</w:t>
            </w:r>
          </w:p>
        </w:tc>
        <w:tc>
          <w:tcPr>
            <w:tcW w:w="5340" w:type="dxa"/>
            <w:vAlign w:val="bottom"/>
          </w:tcPr>
          <w:p>
            <w:pPr>
              <w:jc w:val="right"/>
              <w:ind w:right="755"/>
              <w:spacing w:after="0"/>
              <w:rPr>
                <w:sz w:val="20"/>
                <w:szCs w:val="20"/>
                <w:color w:val="auto"/>
              </w:rPr>
            </w:pPr>
            <w:r>
              <w:rPr>
                <w:rFonts w:ascii="Arial" w:cs="Arial" w:eastAsia="Arial" w:hAnsi="Arial"/>
                <w:sz w:val="18"/>
                <w:szCs w:val="18"/>
                <w:b w:val="1"/>
                <w:bCs w:val="1"/>
                <w:color w:val="auto"/>
              </w:rPr>
              <w:t>43-1265338</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 incorporation or</w:t>
            </w:r>
          </w:p>
        </w:tc>
        <w:tc>
          <w:tcPr>
            <w:tcW w:w="5340" w:type="dxa"/>
            <w:vAlign w:val="bottom"/>
          </w:tcPr>
          <w:p>
            <w:pPr>
              <w:jc w:val="center"/>
              <w:ind w:left="2715"/>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3240" w:type="dxa"/>
            <w:vAlign w:val="bottom"/>
          </w:tcPr>
          <w:p>
            <w:pPr>
              <w:jc w:val="center"/>
              <w:spacing w:after="0"/>
              <w:rPr>
                <w:sz w:val="20"/>
                <w:szCs w:val="20"/>
                <w:color w:val="auto"/>
              </w:rPr>
            </w:pPr>
            <w:r>
              <w:rPr>
                <w:rFonts w:ascii="Arial" w:cs="Arial" w:eastAsia="Arial" w:hAnsi="Arial"/>
                <w:sz w:val="18"/>
                <w:szCs w:val="18"/>
                <w:color w:val="auto"/>
                <w:w w:val="90"/>
              </w:rPr>
              <w:t>organization)</w:t>
            </w:r>
          </w:p>
        </w:tc>
        <w:tc>
          <w:tcPr>
            <w:tcW w:w="5340" w:type="dxa"/>
            <w:vAlign w:val="bottom"/>
          </w:tcPr>
          <w:p>
            <w:pPr>
              <w:spacing w:after="0"/>
              <w:rPr>
                <w:sz w:val="19"/>
                <w:szCs w:val="19"/>
                <w:color w:val="auto"/>
              </w:rPr>
            </w:pPr>
          </w:p>
        </w:tc>
      </w:tr>
      <w:tr>
        <w:trPr>
          <w:trHeight w:val="231"/>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7"/>
              </w:rPr>
              <w:t>12444 Powerscourt Drive, Suite 550</w:t>
            </w:r>
          </w:p>
        </w:tc>
        <w:tc>
          <w:tcPr>
            <w:tcW w:w="5340" w:type="dxa"/>
            <w:vAlign w:val="bottom"/>
          </w:tcPr>
          <w:p>
            <w:pPr>
              <w:spacing w:after="0"/>
              <w:rPr>
                <w:sz w:val="20"/>
                <w:szCs w:val="20"/>
                <w:color w:val="auto"/>
              </w:rPr>
            </w:pPr>
          </w:p>
        </w:tc>
      </w:tr>
      <w:tr>
        <w:trPr>
          <w:trHeight w:val="222"/>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8"/>
              </w:rPr>
              <w:t>St. Louis, Missouri</w:t>
            </w:r>
          </w:p>
        </w:tc>
        <w:tc>
          <w:tcPr>
            <w:tcW w:w="5340" w:type="dxa"/>
            <w:vAlign w:val="bottom"/>
          </w:tcPr>
          <w:p>
            <w:pPr>
              <w:jc w:val="right"/>
              <w:ind w:right="975"/>
              <w:spacing w:after="0"/>
              <w:rPr>
                <w:sz w:val="20"/>
                <w:szCs w:val="20"/>
                <w:color w:val="auto"/>
              </w:rPr>
            </w:pPr>
            <w:r>
              <w:rPr>
                <w:rFonts w:ascii="Arial" w:cs="Arial" w:eastAsia="Arial" w:hAnsi="Arial"/>
                <w:sz w:val="18"/>
                <w:szCs w:val="18"/>
                <w:b w:val="1"/>
                <w:bCs w:val="1"/>
                <w:color w:val="auto"/>
              </w:rPr>
              <w:t>63131</w:t>
            </w:r>
          </w:p>
        </w:tc>
      </w:tr>
      <w:tr>
        <w:trPr>
          <w:trHeight w:val="222"/>
        </w:trPr>
        <w:tc>
          <w:tcPr>
            <w:tcW w:w="324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5340" w:type="dxa"/>
            <w:vAlign w:val="bottom"/>
          </w:tcPr>
          <w:p>
            <w:pPr>
              <w:jc w:val="center"/>
              <w:ind w:left="2715"/>
              <w:spacing w:after="0"/>
              <w:rPr>
                <w:sz w:val="20"/>
                <w:szCs w:val="20"/>
                <w:color w:val="auto"/>
              </w:rPr>
            </w:pPr>
            <w:r>
              <w:rPr>
                <w:rFonts w:ascii="Arial" w:cs="Arial" w:eastAsia="Arial" w:hAnsi="Arial"/>
                <w:sz w:val="18"/>
                <w:szCs w:val="18"/>
                <w:color w:val="auto"/>
                <w:w w:val="91"/>
              </w:rPr>
              <w:t>(Zip Code)</w:t>
            </w:r>
          </w:p>
        </w:tc>
      </w:tr>
      <w:tr>
        <w:trPr>
          <w:trHeight w:val="432"/>
        </w:trPr>
        <w:tc>
          <w:tcPr>
            <w:tcW w:w="3240" w:type="dxa"/>
            <w:vAlign w:val="bottom"/>
          </w:tcPr>
          <w:p>
            <w:pPr>
              <w:spacing w:after="0"/>
              <w:rPr>
                <w:sz w:val="24"/>
                <w:szCs w:val="24"/>
                <w:color w:val="auto"/>
              </w:rPr>
            </w:pPr>
          </w:p>
        </w:tc>
        <w:tc>
          <w:tcPr>
            <w:tcW w:w="5340" w:type="dxa"/>
            <w:vAlign w:val="bottom"/>
          </w:tcPr>
          <w:p>
            <w:pPr>
              <w:jc w:val="right"/>
              <w:ind w:right="3495"/>
              <w:spacing w:after="0"/>
              <w:rPr>
                <w:sz w:val="20"/>
                <w:szCs w:val="20"/>
                <w:color w:val="auto"/>
              </w:rPr>
            </w:pPr>
            <w:r>
              <w:rPr>
                <w:rFonts w:ascii="Arial" w:cs="Arial" w:eastAsia="Arial" w:hAnsi="Arial"/>
                <w:sz w:val="18"/>
                <w:szCs w:val="18"/>
                <w:b w:val="1"/>
                <w:bCs w:val="1"/>
                <w:color w:val="auto"/>
              </w:rPr>
              <w:t>(314) 506-5500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________________</w:t>
      </w:r>
    </w:p>
    <w:p>
      <w:pPr>
        <w:spacing w:after="0" w:line="19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800"/>
        <w:spacing w:after="0"/>
        <w:tabs>
          <w:tab w:leader="none" w:pos="6520" w:val="left"/>
          <w:tab w:leader="none" w:pos="734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5"/>
          <w:szCs w:val="15"/>
          <w:color w:val="auto"/>
        </w:rPr>
        <w:t>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4040505</wp:posOffset>
            </wp:positionH>
            <wp:positionV relativeFrom="paragraph">
              <wp:posOffset>-17780</wp:posOffset>
            </wp:positionV>
            <wp:extent cx="303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5800"/>
        <w:spacing w:after="0"/>
        <w:tabs>
          <w:tab w:leader="none" w:pos="6520" w:val="left"/>
          <w:tab w:leader="none" w:pos="734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5"/>
          <w:szCs w:val="15"/>
          <w:color w:val="auto"/>
        </w:rPr>
        <w:t>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4040505</wp:posOffset>
            </wp:positionH>
            <wp:positionV relativeFrom="paragraph">
              <wp:posOffset>-17780</wp:posOffset>
            </wp:positionV>
            <wp:extent cx="303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jc w:val="both"/>
        <w:ind w:firstLine="27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color w:val="auto"/>
              </w:rPr>
              <w:t>Large Accelerated Filer _____</w:t>
            </w: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Accelerated Filer   X</w:t>
            </w:r>
          </w:p>
        </w:tc>
        <w:tc>
          <w:tcPr>
            <w:tcW w:w="314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505"/>
        </w:trPr>
        <w:tc>
          <w:tcPr>
            <w:tcW w:w="3380" w:type="dxa"/>
            <w:vAlign w:val="bottom"/>
          </w:tcPr>
          <w:p>
            <w:pPr>
              <w:spacing w:after="0"/>
              <w:rPr>
                <w:sz w:val="20"/>
                <w:szCs w:val="20"/>
                <w:color w:val="auto"/>
              </w:rPr>
            </w:pPr>
            <w:r>
              <w:rPr>
                <w:rFonts w:ascii="Arial" w:cs="Arial" w:eastAsia="Arial" w:hAnsi="Arial"/>
                <w:sz w:val="18"/>
                <w:szCs w:val="18"/>
                <w:color w:val="auto"/>
              </w:rPr>
              <w:t>Non-Accelerated Filer _____</w:t>
            </w: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Smaller Reporting Company _____</w:t>
            </w:r>
          </w:p>
        </w:tc>
        <w:tc>
          <w:tcPr>
            <w:tcW w:w="3140" w:type="dxa"/>
            <w:vAlign w:val="bottom"/>
          </w:tcPr>
          <w:p>
            <w:pPr>
              <w:ind w:left="660"/>
              <w:spacing w:after="0"/>
              <w:rPr>
                <w:sz w:val="20"/>
                <w:szCs w:val="20"/>
                <w:color w:val="auto"/>
              </w:rPr>
            </w:pPr>
            <w:r>
              <w:rPr>
                <w:rFonts w:ascii="Arial" w:cs="Arial" w:eastAsia="Arial" w:hAnsi="Arial"/>
                <w:sz w:val="18"/>
                <w:szCs w:val="18"/>
                <w:color w:val="auto"/>
                <w:w w:val="88"/>
              </w:rPr>
              <w:t>Emerging Growth Company _____</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w w:val="92"/>
              </w:rPr>
              <w:t>(Do not check if a smaller reporting company)</w:t>
            </w:r>
          </w:p>
        </w:tc>
        <w:tc>
          <w:tcPr>
            <w:tcW w:w="1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140" w:type="dxa"/>
            <w:vAlign w:val="bottom"/>
          </w:tcPr>
          <w:p>
            <w:pPr>
              <w:spacing w:after="0"/>
              <w:rPr>
                <w:sz w:val="21"/>
                <w:szCs w:val="21"/>
                <w:color w:val="auto"/>
              </w:rPr>
            </w:pPr>
          </w:p>
        </w:tc>
      </w:tr>
    </w:tbl>
    <w:p>
      <w:pPr>
        <w:spacing w:after="0" w:line="223"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_____</w:t>
      </w:r>
    </w:p>
    <w:p>
      <w:pPr>
        <w:spacing w:after="0" w:line="186"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4480"/>
        <w:spacing w:after="0"/>
        <w:tabs>
          <w:tab w:leader="none" w:pos="4980" w:val="left"/>
          <w:tab w:leader="none" w:pos="5940" w:val="left"/>
          <w:tab w:leader="none" w:pos="66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_____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4113530</wp:posOffset>
            </wp:positionH>
            <wp:positionV relativeFrom="paragraph">
              <wp:posOffset>-17780</wp:posOffset>
            </wp:positionV>
            <wp:extent cx="303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The number of shares outstanding of the registrant's only class of common stock as of October 30, 2017: Common stock, par value $.50 per share –11,166,349 shares outstanding.</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Item 1.</w:t>
            </w:r>
          </w:p>
        </w:tc>
        <w:tc>
          <w:tcPr>
            <w:tcW w:w="10160" w:type="dxa"/>
            <w:vAlign w:val="bottom"/>
          </w:tcPr>
          <w:p>
            <w:pPr>
              <w:spacing w:after="0"/>
              <w:rPr>
                <w:sz w:val="20"/>
                <w:szCs w:val="20"/>
                <w:color w:val="auto"/>
              </w:rPr>
            </w:pPr>
            <w:r>
              <w:rPr>
                <w:rFonts w:ascii="Arial" w:cs="Arial" w:eastAsia="Arial" w:hAnsi="Arial"/>
                <w:sz w:val="18"/>
                <w:szCs w:val="18"/>
                <w:color w:val="auto"/>
              </w:rPr>
              <w:t>FINANCIAL STATEMENTS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10160" w:type="dxa"/>
            <w:vAlign w:val="bottom"/>
            <w:shd w:val="clear" w:color="auto" w:fill="C0C0C0"/>
          </w:tcPr>
          <w:p>
            <w:pPr>
              <w:spacing w:after="0"/>
              <w:rPr>
                <w:sz w:val="20"/>
                <w:szCs w:val="20"/>
                <w:color w:val="auto"/>
              </w:rPr>
            </w:pPr>
            <w:r>
              <w:rPr>
                <w:rFonts w:ascii="Arial" w:cs="Arial" w:eastAsia="Arial" w:hAnsi="Arial"/>
                <w:sz w:val="18"/>
                <w:szCs w:val="18"/>
                <w:color w:val="auto"/>
              </w:rPr>
              <w:t>Consolidated Balance Sheets</w:t>
            </w:r>
          </w:p>
        </w:tc>
        <w:tc>
          <w:tcPr>
            <w:tcW w:w="1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101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September 30, 2017 (unaudited) and December 31, 2016</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101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160" w:type="dxa"/>
            <w:vAlign w:val="bottom"/>
          </w:tcPr>
          <w:p>
            <w:pPr>
              <w:ind w:left="300"/>
              <w:spacing w:after="0"/>
              <w:rPr>
                <w:sz w:val="20"/>
                <w:szCs w:val="20"/>
                <w:color w:val="auto"/>
              </w:rPr>
            </w:pPr>
            <w:r>
              <w:rPr>
                <w:rFonts w:ascii="Arial" w:cs="Arial" w:eastAsia="Arial" w:hAnsi="Arial"/>
                <w:sz w:val="18"/>
                <w:szCs w:val="18"/>
                <w:color w:val="auto"/>
              </w:rPr>
              <w:t>Three and nine months ended September 30, 2017 and 2016 (unaudited)</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10160" w:type="dxa"/>
            <w:vAlign w:val="bottom"/>
            <w:shd w:val="clear" w:color="auto" w:fill="C0C0C0"/>
          </w:tcPr>
          <w:p>
            <w:pPr>
              <w:spacing w:after="0"/>
              <w:rPr>
                <w:sz w:val="20"/>
                <w:szCs w:val="20"/>
                <w:color w:val="auto"/>
              </w:rPr>
            </w:pPr>
            <w:r>
              <w:rPr>
                <w:rFonts w:ascii="Arial" w:cs="Arial" w:eastAsia="Arial" w:hAnsi="Arial"/>
                <w:sz w:val="18"/>
                <w:szCs w:val="18"/>
                <w:color w:val="auto"/>
              </w:rPr>
              <w:t>Consolidated Statements of Comprehensive Income</w:t>
            </w:r>
          </w:p>
        </w:tc>
        <w:tc>
          <w:tcPr>
            <w:tcW w:w="1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101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Three and nine months ended September 30, 2017 and 2016 (unaudited)</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101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160" w:type="dxa"/>
            <w:vAlign w:val="bottom"/>
          </w:tcPr>
          <w:p>
            <w:pPr>
              <w:ind w:left="300"/>
              <w:spacing w:after="0"/>
              <w:rPr>
                <w:sz w:val="20"/>
                <w:szCs w:val="20"/>
                <w:color w:val="auto"/>
              </w:rPr>
            </w:pPr>
            <w:r>
              <w:rPr>
                <w:rFonts w:ascii="Arial" w:cs="Arial" w:eastAsia="Arial" w:hAnsi="Arial"/>
                <w:sz w:val="18"/>
                <w:szCs w:val="18"/>
                <w:color w:val="auto"/>
              </w:rPr>
              <w:t>Nine months ended September 30, 2017 and 2016 (unaudited)</w:t>
            </w: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10160" w:type="dxa"/>
            <w:vAlign w:val="bottom"/>
            <w:shd w:val="clear" w:color="auto" w:fill="C0C0C0"/>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101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Item 2.</w:t>
            </w:r>
          </w:p>
        </w:tc>
        <w:tc>
          <w:tcPr>
            <w:tcW w:w="1016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160" w:type="dxa"/>
            <w:vAlign w:val="bottom"/>
          </w:tcPr>
          <w:p>
            <w:pPr>
              <w:ind w:left="300"/>
              <w:spacing w:after="0"/>
              <w:rPr>
                <w:sz w:val="20"/>
                <w:szCs w:val="20"/>
                <w:color w:val="auto"/>
              </w:rPr>
            </w:pPr>
            <w:r>
              <w:rPr>
                <w:rFonts w:ascii="Arial" w:cs="Arial" w:eastAsia="Arial" w:hAnsi="Arial"/>
                <w:sz w:val="18"/>
                <w:szCs w:val="18"/>
                <w:color w:val="auto"/>
              </w:rPr>
              <w:t>AND RESULTS OF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Item 3.</w:t>
            </w:r>
          </w:p>
        </w:tc>
        <w:tc>
          <w:tcPr>
            <w:tcW w:w="10160" w:type="dxa"/>
            <w:vAlign w:val="bottom"/>
            <w:shd w:val="clear" w:color="auto" w:fill="C0C0C0"/>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101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Item 4.</w:t>
            </w:r>
          </w:p>
        </w:tc>
        <w:tc>
          <w:tcPr>
            <w:tcW w:w="1016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112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122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1220" w:type="dxa"/>
            <w:vAlign w:val="bottom"/>
            <w:gridSpan w:val="2"/>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20" w:type="dxa"/>
            <w:vAlign w:val="bottom"/>
            <w:gridSpan w:val="2"/>
          </w:tcPr>
          <w:p>
            <w:pPr>
              <w:ind w:left="300"/>
              <w:spacing w:after="0"/>
              <w:rPr>
                <w:sz w:val="20"/>
                <w:szCs w:val="20"/>
                <w:color w:val="auto"/>
              </w:rPr>
            </w:pPr>
            <w:r>
              <w:rPr>
                <w:rFonts w:ascii="Arial" w:cs="Arial" w:eastAsia="Arial" w:hAnsi="Arial"/>
                <w:sz w:val="18"/>
                <w:szCs w:val="18"/>
                <w:color w:val="auto"/>
              </w:rPr>
              <w:t>SIGNATURES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0" w:type="dxa"/>
            <w:vAlign w:val="bottom"/>
          </w:tcPr>
          <w:p>
            <w:pPr>
              <w:spacing w:after="0"/>
              <w:rPr>
                <w:sz w:val="1"/>
                <w:szCs w:val="1"/>
                <w:color w:val="auto"/>
              </w:rPr>
            </w:pPr>
          </w:p>
        </w:tc>
      </w:tr>
      <w:tr>
        <w:trPr>
          <w:trHeight w:val="446"/>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2016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r>
        <w:rPr>
          <w:rFonts w:ascii="Arial" w:cs="Arial" w:eastAsia="Arial" w:hAnsi="Arial"/>
          <w:sz w:val="12"/>
          <w:szCs w:val="12"/>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8440" w:type="dxa"/>
            <w:vAlign w:val="bottom"/>
          </w:tcPr>
          <w:p>
            <w:pPr>
              <w:jc w:val="center"/>
              <w:ind w:left="2852"/>
              <w:spacing w:after="0"/>
              <w:rPr>
                <w:sz w:val="20"/>
                <w:szCs w:val="20"/>
                <w:color w:val="auto"/>
              </w:rPr>
            </w:pPr>
            <w:r>
              <w:rPr>
                <w:rFonts w:ascii="Arial" w:cs="Arial" w:eastAsia="Arial" w:hAnsi="Arial"/>
                <w:sz w:val="18"/>
                <w:szCs w:val="18"/>
                <w:b w:val="1"/>
                <w:bCs w:val="1"/>
                <w:color w:val="auto"/>
                <w:w w:val="97"/>
              </w:rPr>
              <w:t>CASS INFORMATION SYSTEMS, INC. AND SUBSIDIARIES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440" w:type="dxa"/>
            <w:vAlign w:val="bottom"/>
          </w:tcPr>
          <w:p>
            <w:pPr>
              <w:jc w:val="center"/>
              <w:ind w:left="2872"/>
              <w:spacing w:after="0"/>
              <w:rPr>
                <w:sz w:val="20"/>
                <w:szCs w:val="20"/>
                <w:color w:val="auto"/>
              </w:rPr>
            </w:pPr>
            <w:r>
              <w:rPr>
                <w:rFonts w:ascii="Arial" w:cs="Arial" w:eastAsia="Arial" w:hAnsi="Arial"/>
                <w:sz w:val="18"/>
                <w:szCs w:val="18"/>
                <w:b w:val="1"/>
                <w:bCs w:val="1"/>
                <w:color w:val="auto"/>
                <w:w w:val="96"/>
              </w:rPr>
              <w:t>CONSOLIDATED BALANCE SHEETS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440" w:type="dxa"/>
            <w:vAlign w:val="bottom"/>
          </w:tcPr>
          <w:p>
            <w:pPr>
              <w:jc w:val="center"/>
              <w:ind w:left="2872"/>
              <w:spacing w:after="0"/>
              <w:rPr>
                <w:sz w:val="20"/>
                <w:szCs w:val="20"/>
                <w:color w:val="auto"/>
              </w:rPr>
            </w:pPr>
            <w:r>
              <w:rPr>
                <w:rFonts w:ascii="Arial" w:cs="Arial" w:eastAsia="Arial" w:hAnsi="Arial"/>
                <w:sz w:val="18"/>
                <w:szCs w:val="18"/>
                <w:color w:val="auto"/>
                <w:w w:val="86"/>
              </w:rPr>
              <w:t>(Dollars in Thousands except Share and Per Share Data)</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2017</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r>
      <w:tr>
        <w:trPr>
          <w:trHeight w:val="252"/>
        </w:trPr>
        <w:tc>
          <w:tcPr>
            <w:tcW w:w="20" w:type="dxa"/>
            <w:vAlign w:val="bottom"/>
          </w:tcPr>
          <w:p>
            <w:pPr>
              <w:spacing w:after="0"/>
              <w:rPr>
                <w:sz w:val="21"/>
                <w:szCs w:val="21"/>
                <w:color w:val="auto"/>
              </w:rPr>
            </w:pPr>
          </w:p>
        </w:tc>
        <w:tc>
          <w:tcPr>
            <w:tcW w:w="8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r>
      <w:tr>
        <w:trPr>
          <w:trHeight w:val="243"/>
        </w:trPr>
        <w:tc>
          <w:tcPr>
            <w:tcW w:w="20" w:type="dxa"/>
            <w:vAlign w:val="bottom"/>
          </w:tcPr>
          <w:p>
            <w:pPr>
              <w:spacing w:after="0"/>
              <w:rPr>
                <w:sz w:val="21"/>
                <w:szCs w:val="21"/>
                <w:color w:val="auto"/>
              </w:rPr>
            </w:pPr>
          </w:p>
        </w:tc>
        <w:tc>
          <w:tcPr>
            <w:tcW w:w="84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84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13,961</w:t>
            </w: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11,814</w:t>
            </w:r>
          </w:p>
        </w:tc>
      </w:tr>
      <w:tr>
        <w:trPr>
          <w:trHeight w:val="251"/>
        </w:trPr>
        <w:tc>
          <w:tcPr>
            <w:tcW w:w="20" w:type="dxa"/>
            <w:vAlign w:val="bottom"/>
          </w:tcPr>
          <w:p>
            <w:pPr>
              <w:spacing w:after="0"/>
              <w:rPr>
                <w:sz w:val="21"/>
                <w:szCs w:val="21"/>
                <w:color w:val="auto"/>
              </w:rPr>
            </w:pPr>
          </w:p>
        </w:tc>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90,789</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136,852</w:t>
            </w:r>
          </w:p>
        </w:tc>
      </w:tr>
      <w:tr>
        <w:trPr>
          <w:trHeight w:val="242"/>
        </w:trPr>
        <w:tc>
          <w:tcPr>
            <w:tcW w:w="8460" w:type="dxa"/>
            <w:vAlign w:val="bottom"/>
            <w:gridSpan w:val="2"/>
          </w:tcPr>
          <w:p>
            <w:pPr>
              <w:spacing w:after="0"/>
              <w:rPr>
                <w:sz w:val="20"/>
                <w:szCs w:val="20"/>
                <w:color w:val="auto"/>
              </w:rPr>
            </w:pPr>
            <w:r>
              <w:rPr>
                <w:rFonts w:ascii="Arial" w:cs="Arial" w:eastAsia="Arial" w:hAnsi="Arial"/>
                <w:sz w:val="18"/>
                <w:szCs w:val="18"/>
                <w:color w:val="auto"/>
              </w:rPr>
              <w:t>Federal funds sold and other short-term investments</w:t>
            </w: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137,348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118,077</w:t>
            </w:r>
          </w:p>
        </w:tc>
      </w:tr>
      <w:tr>
        <w:trPr>
          <w:trHeight w:val="237"/>
        </w:trPr>
        <w:tc>
          <w:tcPr>
            <w:tcW w:w="20" w:type="dxa"/>
            <w:vAlign w:val="bottom"/>
          </w:tcPr>
          <w:p>
            <w:pPr>
              <w:spacing w:after="0"/>
              <w:rPr>
                <w:sz w:val="20"/>
                <w:szCs w:val="20"/>
                <w:color w:val="auto"/>
              </w:rPr>
            </w:pPr>
          </w:p>
        </w:tc>
        <w:tc>
          <w:tcPr>
            <w:tcW w:w="8440" w:type="dxa"/>
            <w:vAlign w:val="bottom"/>
            <w:tcBorders>
              <w:bottom w:val="single" w:sz="8" w:color="C0C0C0"/>
            </w:tcBorders>
            <w:shd w:val="clear" w:color="auto" w:fill="C0C0C0"/>
          </w:tcPr>
          <w:p>
            <w:pPr>
              <w:ind w:left="80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242,098</w:t>
            </w:r>
          </w:p>
        </w:tc>
        <w:tc>
          <w:tcPr>
            <w:tcW w:w="26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266,743</w:t>
            </w: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Securities available-for-sale, at fair value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457,068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Less: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Loans,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Investment in bank-owned life insurance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Payments in excess of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658,090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664,866</w:t>
            </w:r>
          </w:p>
        </w:tc>
      </w:tr>
      <w:tr>
        <w:trPr>
          <w:trHeight w:val="252"/>
        </w:trPr>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10,202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w:t>
            </w:r>
          </w:p>
        </w:tc>
      </w:tr>
      <w:tr>
        <w:trPr>
          <w:trHeight w:val="237"/>
        </w:trPr>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647,888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654,691</w:t>
            </w:r>
          </w:p>
        </w:tc>
      </w:tr>
      <w:tr>
        <w:trPr>
          <w:trHeight w:val="228"/>
        </w:trPr>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21,168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21,086</w:t>
            </w:r>
          </w:p>
        </w:tc>
      </w:tr>
      <w:tr>
        <w:trPr>
          <w:trHeight w:val="243"/>
        </w:trPr>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16,812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16,445</w:t>
            </w:r>
          </w:p>
        </w:tc>
      </w:tr>
      <w:tr>
        <w:trPr>
          <w:trHeight w:val="243"/>
        </w:trPr>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119,802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105,347</w:t>
            </w:r>
          </w:p>
        </w:tc>
      </w:tr>
      <w:tr>
        <w:trPr>
          <w:trHeight w:val="243"/>
        </w:trPr>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12,569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11,590</w:t>
            </w:r>
          </w:p>
        </w:tc>
      </w:tr>
      <w:tr>
        <w:trPr>
          <w:trHeight w:val="243"/>
        </w:trPr>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2,106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52"/>
        </w:trPr>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37,239</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36,388</w:t>
            </w:r>
          </w:p>
        </w:tc>
      </w:tr>
      <w:tr>
        <w:trPr>
          <w:trHeight w:val="264"/>
        </w:trPr>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1,556,750</w:t>
            </w:r>
          </w:p>
        </w:tc>
        <w:tc>
          <w:tcPr>
            <w:tcW w:w="260" w:type="dxa"/>
            <w:vAlign w:val="bottom"/>
          </w:tcPr>
          <w:p>
            <w:pPr>
              <w:spacing w:after="0"/>
              <w:rPr>
                <w:sz w:val="22"/>
                <w:szCs w:val="22"/>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1,504,839</w:t>
            </w:r>
          </w:p>
        </w:tc>
      </w:tr>
    </w:tbl>
    <w:p>
      <w:pPr>
        <w:spacing w:after="0" w:line="200" w:lineRule="exact"/>
        <w:rPr>
          <w:sz w:val="20"/>
          <w:szCs w:val="20"/>
          <w:color w:val="auto"/>
        </w:rPr>
      </w:pPr>
    </w:p>
    <w:p>
      <w:pPr>
        <w:sectPr>
          <w:pgSz w:w="11900" w:h="16838" w:orient="portrait"/>
          <w:cols w:equalWidth="0" w:num="2">
            <w:col w:w="8100" w:space="720"/>
            <w:col w:w="2600"/>
          </w:cols>
          <w:pgMar w:left="240" w:top="125"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189"/>
        </w:trPr>
        <w:tc>
          <w:tcPr>
            <w:tcW w:w="8540" w:type="dxa"/>
            <w:vAlign w:val="bottom"/>
            <w:gridSpan w:val="2"/>
          </w:tcPr>
          <w:p>
            <w:pPr>
              <w:spacing w:after="0" w:line="189" w:lineRule="exact"/>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4"/>
        </w:trPr>
        <w:tc>
          <w:tcPr>
            <w:tcW w:w="760" w:type="dxa"/>
            <w:vAlign w:val="bottom"/>
            <w:tcBorders>
              <w:top w:val="single" w:sz="8" w:color="auto"/>
            </w:tcBorders>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8540" w:type="dxa"/>
            <w:vAlign w:val="bottom"/>
            <w:gridSpan w:val="2"/>
          </w:tcPr>
          <w:p>
            <w:pPr>
              <w:ind w:left="280"/>
              <w:spacing w:after="0"/>
              <w:rPr>
                <w:sz w:val="20"/>
                <w:szCs w:val="20"/>
                <w:color w:val="auto"/>
              </w:rPr>
            </w:pPr>
            <w:r>
              <w:rPr>
                <w:rFonts w:ascii="Arial" w:cs="Arial" w:eastAsia="Arial" w:hAnsi="Arial"/>
                <w:sz w:val="18"/>
                <w:szCs w:val="18"/>
                <w:color w:val="auto"/>
              </w:rPr>
              <w:t>Noninterest-bearing</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211,413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214,656</w:t>
            </w:r>
          </w:p>
        </w:tc>
      </w:tr>
      <w:tr>
        <w:trPr>
          <w:trHeight w:val="250"/>
        </w:trPr>
        <w:tc>
          <w:tcPr>
            <w:tcW w:w="8540" w:type="dxa"/>
            <w:vAlign w:val="bottom"/>
            <w:tcBorders>
              <w:bottom w:val="single" w:sz="8" w:color="C0C0C0"/>
            </w:tcBorders>
            <w:gridSpan w:val="2"/>
            <w:shd w:val="clear" w:color="auto" w:fill="C0C0C0"/>
          </w:tcPr>
          <w:p>
            <w:pPr>
              <w:ind w:left="280"/>
              <w:spacing w:after="0"/>
              <w:rPr>
                <w:sz w:val="20"/>
                <w:szCs w:val="20"/>
                <w:color w:val="auto"/>
              </w:rPr>
            </w:pPr>
            <w:r>
              <w:rPr>
                <w:rFonts w:ascii="Arial" w:cs="Arial" w:eastAsia="Arial" w:hAnsi="Arial"/>
                <w:sz w:val="18"/>
                <w:szCs w:val="18"/>
                <w:color w:val="auto"/>
              </w:rPr>
              <w:t>Interest-bearing</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397,817</w:t>
            </w:r>
          </w:p>
        </w:tc>
        <w:tc>
          <w:tcPr>
            <w:tcW w:w="2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407,305</w:t>
            </w:r>
          </w:p>
        </w:tc>
      </w:tr>
      <w:tr>
        <w:trPr>
          <w:trHeight w:val="237"/>
        </w:trPr>
        <w:tc>
          <w:tcPr>
            <w:tcW w:w="76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rPr>
              <w:t>Total deposits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609,230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621,961</w:t>
            </w:r>
          </w:p>
        </w:tc>
      </w:tr>
      <w:tr>
        <w:trPr>
          <w:trHeight w:val="238"/>
        </w:trPr>
        <w:tc>
          <w:tcPr>
            <w:tcW w:w="8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Accounts and drafts payable</w:t>
            </w: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687,233</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642,287</w:t>
            </w:r>
          </w:p>
        </w:tc>
      </w:tr>
      <w:tr>
        <w:trPr>
          <w:trHeight w:val="242"/>
        </w:trPr>
        <w:tc>
          <w:tcPr>
            <w:tcW w:w="85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36,332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32,556</w:t>
            </w:r>
          </w:p>
        </w:tc>
      </w:tr>
      <w:tr>
        <w:trPr>
          <w:trHeight w:val="237"/>
        </w:trPr>
        <w:tc>
          <w:tcPr>
            <w:tcW w:w="760" w:type="dxa"/>
            <w:vAlign w:val="bottom"/>
            <w:tcBorders>
              <w:bottom w:val="single" w:sz="8" w:color="C0C0C0"/>
            </w:tcBorders>
            <w:shd w:val="clear" w:color="auto" w:fill="C0C0C0"/>
          </w:tcPr>
          <w:p>
            <w:pPr>
              <w:spacing w:after="0"/>
              <w:rPr>
                <w:sz w:val="20"/>
                <w:szCs w:val="20"/>
                <w:color w:val="auto"/>
              </w:rPr>
            </w:pPr>
          </w:p>
        </w:tc>
        <w:tc>
          <w:tcPr>
            <w:tcW w:w="7780" w:type="dxa"/>
            <w:vAlign w:val="bottom"/>
            <w:tcBorders>
              <w:bottom w:val="single" w:sz="8" w:color="C0C0C0"/>
            </w:tcBorders>
            <w:shd w:val="clear" w:color="auto" w:fill="C0C0C0"/>
          </w:tcPr>
          <w:p>
            <w:pPr>
              <w:ind w:left="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0C0C0"/>
            </w:tcBorders>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9"/>
              </w:rPr>
              <w:t>1,332,795</w:t>
            </w:r>
          </w:p>
        </w:tc>
        <w:tc>
          <w:tcPr>
            <w:tcW w:w="26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1,296,804</w:t>
            </w:r>
          </w:p>
        </w:tc>
      </w:tr>
      <w:tr>
        <w:trPr>
          <w:trHeight w:val="238"/>
        </w:trPr>
        <w:tc>
          <w:tcPr>
            <w:tcW w:w="760" w:type="dxa"/>
            <w:vAlign w:val="bottom"/>
            <w:shd w:val="clear" w:color="auto" w:fill="C0C0C0"/>
          </w:tcPr>
          <w:p>
            <w:pPr>
              <w:spacing w:after="0"/>
              <w:rPr>
                <w:sz w:val="20"/>
                <w:szCs w:val="20"/>
                <w:color w:val="auto"/>
              </w:rPr>
            </w:pPr>
          </w:p>
        </w:tc>
        <w:tc>
          <w:tcPr>
            <w:tcW w:w="77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r>
    </w:tbl>
    <w:p>
      <w:pPr>
        <w:spacing w:after="0" w:line="5"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p>
      <w:pPr>
        <w:spacing w:after="0" w:line="36" w:lineRule="exact"/>
        <w:rPr>
          <w:sz w:val="20"/>
          <w:szCs w:val="20"/>
          <w:color w:val="auto"/>
        </w:rPr>
      </w:pPr>
    </w:p>
    <w:p>
      <w:pPr>
        <w:ind w:left="280" w:hanging="269"/>
        <w:spacing w:after="0" w:line="281" w:lineRule="auto"/>
        <w:rPr>
          <w:sz w:val="20"/>
          <w:szCs w:val="20"/>
          <w:color w:val="auto"/>
        </w:rPr>
      </w:pPr>
      <w:r>
        <w:rPr>
          <w:rFonts w:ascii="Arial" w:cs="Arial" w:eastAsia="Arial" w:hAnsi="Arial"/>
          <w:sz w:val="18"/>
          <w:szCs w:val="18"/>
          <w:color w:val="auto"/>
        </w:rPr>
        <w:t>Common stock, par value $.50 per share; 40,000,000 shares authorized and 11,931,147 shares issued at September 30, 2017 and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paid-in capital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auto"/>
        </w:rPr>
        <w:t>Common shares in treasury, at cost (764,798 shares at September 30, 2017 and 742,681 shares at December 31, 2016)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Total shareholders’ equity</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 liabilities and shareholders’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840"/>
        <w:spacing w:after="0"/>
        <w:tabs>
          <w:tab w:leader="none" w:pos="2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6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5,966</w:t>
      </w:r>
      <w:r>
        <w:rPr>
          <w:sz w:val="20"/>
          <w:szCs w:val="20"/>
          <w:color w:val="auto"/>
        </w:rPr>
        <w:tab/>
      </w:r>
      <w:r>
        <w:rPr>
          <w:rFonts w:ascii="Arial" w:cs="Arial" w:eastAsia="Arial" w:hAnsi="Arial"/>
          <w:sz w:val="18"/>
          <w:szCs w:val="18"/>
          <w:color w:val="auto"/>
        </w:rPr>
        <w:t>5,966</w:t>
      </w:r>
    </w:p>
    <w:p>
      <w:pPr>
        <w:spacing w:after="0" w:line="36" w:lineRule="exact"/>
        <w:rPr>
          <w:sz w:val="20"/>
          <w:szCs w:val="20"/>
          <w:color w:val="auto"/>
        </w:rPr>
      </w:pPr>
    </w:p>
    <w:p>
      <w:pPr>
        <w:ind w:left="480"/>
        <w:spacing w:after="0"/>
        <w:tabs>
          <w:tab w:leader="none" w:pos="1940" w:val="left"/>
        </w:tabs>
        <w:rPr>
          <w:sz w:val="20"/>
          <w:szCs w:val="20"/>
          <w:color w:val="auto"/>
        </w:rPr>
      </w:pPr>
      <w:r>
        <w:rPr>
          <w:rFonts w:ascii="Arial" w:cs="Arial" w:eastAsia="Arial" w:hAnsi="Arial"/>
          <w:sz w:val="16"/>
          <w:szCs w:val="16"/>
          <w:color w:val="auto"/>
        </w:rPr>
        <w:t>129,052</w:t>
      </w:r>
      <w:r>
        <w:rPr>
          <w:sz w:val="20"/>
          <w:szCs w:val="20"/>
          <w:color w:val="auto"/>
        </w:rPr>
        <w:tab/>
      </w:r>
      <w:r>
        <w:rPr>
          <w:rFonts w:ascii="Arial" w:cs="Arial" w:eastAsia="Arial" w:hAnsi="Arial"/>
          <w:sz w:val="16"/>
          <w:szCs w:val="16"/>
          <w:color w:val="auto"/>
        </w:rPr>
        <w:t>128,455</w:t>
      </w:r>
    </w:p>
    <w:p>
      <w:pPr>
        <w:spacing w:after="0" w:line="59" w:lineRule="exact"/>
        <w:rPr>
          <w:sz w:val="20"/>
          <w:szCs w:val="20"/>
          <w:color w:val="auto"/>
        </w:rPr>
      </w:pPr>
    </w:p>
    <w:p>
      <w:pPr>
        <w:ind w:left="480"/>
        <w:spacing w:after="0"/>
        <w:tabs>
          <w:tab w:leader="none" w:pos="1940" w:val="left"/>
        </w:tabs>
        <w:rPr>
          <w:sz w:val="20"/>
          <w:szCs w:val="20"/>
          <w:color w:val="auto"/>
        </w:rPr>
      </w:pPr>
      <w:r>
        <w:rPr>
          <w:rFonts w:ascii="Arial" w:cs="Arial" w:eastAsia="Arial" w:hAnsi="Arial"/>
          <w:sz w:val="16"/>
          <w:szCs w:val="16"/>
          <w:color w:val="auto"/>
        </w:rPr>
        <w:t>130,321</w:t>
      </w:r>
      <w:r>
        <w:rPr>
          <w:sz w:val="20"/>
          <w:szCs w:val="20"/>
          <w:color w:val="auto"/>
        </w:rPr>
        <w:tab/>
      </w:r>
      <w:r>
        <w:rPr>
          <w:rFonts w:ascii="Arial" w:cs="Arial" w:eastAsia="Arial" w:hAnsi="Arial"/>
          <w:sz w:val="16"/>
          <w:szCs w:val="16"/>
          <w:color w:val="auto"/>
        </w:rPr>
        <w:t>118,363</w:t>
      </w:r>
    </w:p>
    <w:p>
      <w:pPr>
        <w:spacing w:after="0" w:line="59" w:lineRule="exact"/>
        <w:rPr>
          <w:sz w:val="20"/>
          <w:szCs w:val="20"/>
          <w:color w:val="auto"/>
        </w:rPr>
      </w:pPr>
    </w:p>
    <w:p>
      <w:pPr>
        <w:jc w:val="both"/>
        <w:ind w:left="500"/>
        <w:spacing w:after="0"/>
        <w:tabs>
          <w:tab w:leader="none" w:pos="1980" w:val="left"/>
        </w:tabs>
        <w:rPr>
          <w:sz w:val="20"/>
          <w:szCs w:val="20"/>
          <w:color w:val="auto"/>
        </w:rPr>
      </w:pPr>
      <w:r>
        <w:rPr>
          <w:rFonts w:ascii="Arial" w:cs="Arial" w:eastAsia="Arial" w:hAnsi="Arial"/>
          <w:sz w:val="18"/>
          <w:szCs w:val="18"/>
          <w:color w:val="auto"/>
        </w:rPr>
        <w:t>(32,167)</w:t>
      </w:r>
      <w:r>
        <w:rPr>
          <w:sz w:val="20"/>
          <w:szCs w:val="20"/>
          <w:color w:val="auto"/>
        </w:rPr>
        <w:tab/>
      </w:r>
      <w:r>
        <w:rPr>
          <w:rFonts w:ascii="Arial" w:cs="Arial" w:eastAsia="Arial" w:hAnsi="Arial"/>
          <w:sz w:val="18"/>
          <w:szCs w:val="18"/>
          <w:color w:val="auto"/>
        </w:rPr>
        <w:t>(30,206)</w:t>
      </w:r>
    </w:p>
    <w:p>
      <w:pPr>
        <w:spacing w:after="0" w:line="36" w:lineRule="exact"/>
        <w:rPr>
          <w:sz w:val="20"/>
          <w:szCs w:val="20"/>
          <w:color w:val="auto"/>
        </w:rPr>
      </w:pPr>
    </w:p>
    <w:p>
      <w:pPr>
        <w:jc w:val="both"/>
        <w:ind w:left="600"/>
        <w:spacing w:after="0"/>
        <w:tabs>
          <w:tab w:leader="none" w:pos="1980" w:val="left"/>
        </w:tabs>
        <w:rPr>
          <w:sz w:val="20"/>
          <w:szCs w:val="20"/>
          <w:color w:val="auto"/>
        </w:rPr>
      </w:pPr>
      <w:r>
        <w:rPr>
          <w:rFonts w:ascii="Arial" w:cs="Arial" w:eastAsia="Arial" w:hAnsi="Arial"/>
          <w:sz w:val="18"/>
          <w:szCs w:val="18"/>
          <w:color w:val="auto"/>
        </w:rPr>
        <w:t>(9,217)</w:t>
      </w:r>
      <w:r>
        <w:rPr>
          <w:sz w:val="20"/>
          <w:szCs w:val="20"/>
          <w:color w:val="auto"/>
        </w:rPr>
        <w:tab/>
      </w:r>
      <w:r>
        <w:rPr>
          <w:rFonts w:ascii="Arial" w:cs="Arial" w:eastAsia="Arial" w:hAnsi="Arial"/>
          <w:sz w:val="18"/>
          <w:szCs w:val="18"/>
          <w:color w:val="auto"/>
        </w:rPr>
        <w:t>(14,543)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655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940" w:val="left"/>
        </w:tabs>
        <w:rPr>
          <w:sz w:val="20"/>
          <w:szCs w:val="20"/>
          <w:color w:val="auto"/>
        </w:rPr>
      </w:pPr>
      <w:r>
        <w:rPr>
          <w:rFonts w:ascii="Arial" w:cs="Arial" w:eastAsia="Arial" w:hAnsi="Arial"/>
          <w:sz w:val="16"/>
          <w:szCs w:val="16"/>
          <w:color w:val="auto"/>
        </w:rPr>
        <w:t>223,955</w:t>
      </w:r>
      <w:r>
        <w:rPr>
          <w:sz w:val="20"/>
          <w:szCs w:val="20"/>
          <w:color w:val="auto"/>
        </w:rPr>
        <w:tab/>
      </w:r>
      <w:r>
        <w:rPr>
          <w:rFonts w:ascii="Arial" w:cs="Arial" w:eastAsia="Arial" w:hAnsi="Arial"/>
          <w:sz w:val="16"/>
          <w:szCs w:val="16"/>
          <w:color w:val="auto"/>
        </w:rPr>
        <w:t>208,035</w:t>
      </w:r>
    </w:p>
    <w:p>
      <w:pPr>
        <w:spacing w:after="0" w:line="73" w:lineRule="exact"/>
        <w:rPr>
          <w:sz w:val="20"/>
          <w:szCs w:val="20"/>
          <w:color w:val="auto"/>
        </w:rPr>
      </w:pPr>
    </w:p>
    <w:p>
      <w:pPr>
        <w:spacing w:after="0"/>
        <w:tabs>
          <w:tab w:leader="none" w:pos="320" w:val="left"/>
          <w:tab w:leader="none" w:pos="1400" w:val="left"/>
          <w:tab w:leader="none" w:pos="1820" w:val="left"/>
        </w:tabs>
        <w:rPr>
          <w:sz w:val="20"/>
          <w:szCs w:val="20"/>
          <w:color w:val="auto"/>
        </w:rPr>
      </w:pPr>
      <w:r>
        <w:rPr>
          <w:rFonts w:ascii="Arial" w:cs="Arial" w:eastAsia="Arial" w:hAnsi="Arial"/>
          <w:sz w:val="18"/>
          <w:szCs w:val="18"/>
          <w:color w:val="auto"/>
        </w:rPr>
        <w:t>$</w:t>
        <w:tab/>
        <w:t>1,556,750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1,504,839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65544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55445" cy="26035"/>
                    </a:xfrm>
                    <a:prstGeom prst="rect">
                      <a:avLst/>
                    </a:prstGeom>
                    <a:noFill/>
                  </pic:spPr>
                </pic:pic>
              </a:graphicData>
            </a:graphic>
          </wp:anchor>
        </w:drawing>
      </w:r>
    </w:p>
    <w:p>
      <w:pPr>
        <w:sectPr>
          <w:pgSz w:w="11900" w:h="16838" w:orient="portrait"/>
          <w:cols w:equalWidth="0" w:num="2">
            <w:col w:w="8320" w:space="500"/>
            <w:col w:w="2600"/>
          </w:cols>
          <w:pgMar w:left="240" w:top="125" w:right="239" w:bottom="1440"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right"/>
              <w:ind w:right="272"/>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5"/>
          </w:tcPr>
          <w:p>
            <w:pPr>
              <w:jc w:val="right"/>
              <w:ind w:right="49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6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23,761</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21,737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69,332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62,162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5"/>
        </w:trPr>
        <w:tc>
          <w:tcPr>
            <w:tcW w:w="6860" w:type="dxa"/>
            <w:vAlign w:val="bottom"/>
            <w:gridSpan w:val="2"/>
          </w:tcPr>
          <w:p>
            <w:pPr>
              <w:spacing w:after="0"/>
              <w:rPr>
                <w:sz w:val="20"/>
                <w:szCs w:val="20"/>
                <w:color w:val="auto"/>
              </w:rPr>
            </w:pPr>
            <w:r>
              <w:rPr>
                <w:rFonts w:ascii="Arial" w:cs="Arial" w:eastAsia="Arial" w:hAnsi="Arial"/>
                <w:sz w:val="18"/>
                <w:szCs w:val="18"/>
                <w:color w:val="auto"/>
              </w:rPr>
              <w:t>Gains on sales of securities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Total fee revenue and other income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24,207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22,148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70,778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64,110</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6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6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21,266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Taxable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Exempt from federal income taxes</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2,605</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2,386</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7,865</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42"/>
        </w:trPr>
        <w:tc>
          <w:tcPr>
            <w:tcW w:w="686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interest income</w:t>
            </w:r>
          </w:p>
        </w:tc>
        <w:tc>
          <w:tcPr>
            <w:tcW w:w="160" w:type="dxa"/>
            <w:vAlign w:val="bottom"/>
            <w:tcBorders>
              <w:top w:val="single" w:sz="8" w:color="auto"/>
              <w:bottom w:val="single" w:sz="8" w:color="auto"/>
            </w:tcBorders>
            <w:shd w:val="clear" w:color="auto" w:fill="C0C0C0"/>
          </w:tcPr>
          <w:p>
            <w:pPr>
              <w:spacing w:after="0"/>
              <w:rPr>
                <w:sz w:val="20"/>
                <w:szCs w:val="20"/>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10,665</w:t>
            </w:r>
          </w:p>
        </w:tc>
        <w:tc>
          <w:tcPr>
            <w:tcW w:w="28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top w:val="single" w:sz="8" w:color="auto"/>
              <w:bottom w:val="single" w:sz="8" w:color="auto"/>
            </w:tcBorders>
            <w:shd w:val="clear" w:color="auto" w:fill="C0C0C0"/>
          </w:tcPr>
          <w:p>
            <w:pPr>
              <w:spacing w:after="0"/>
              <w:rPr>
                <w:sz w:val="20"/>
                <w:szCs w:val="20"/>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9,985</w:t>
            </w:r>
          </w:p>
        </w:tc>
        <w:tc>
          <w:tcPr>
            <w:tcW w:w="1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30,996</w:t>
            </w:r>
          </w:p>
        </w:tc>
        <w:tc>
          <w:tcPr>
            <w:tcW w:w="1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78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29,772</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68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9,480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29,475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28,250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Net interest income after provision for loan losses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9,480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29,475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Total net revenue</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34,301</w:t>
            </w:r>
          </w:p>
        </w:tc>
        <w:tc>
          <w:tcPr>
            <w:tcW w:w="2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31,628</w:t>
            </w:r>
          </w:p>
        </w:tc>
        <w:tc>
          <w:tcPr>
            <w:tcW w:w="1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100,253</w:t>
            </w:r>
          </w:p>
        </w:tc>
        <w:tc>
          <w:tcPr>
            <w:tcW w:w="1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93,360</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68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Personnel</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19,423</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18,319</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57,384</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54,267</w:t>
            </w:r>
          </w:p>
        </w:tc>
        <w:tc>
          <w:tcPr>
            <w:tcW w:w="0" w:type="dxa"/>
            <w:vAlign w:val="bottom"/>
          </w:tcPr>
          <w:p>
            <w:pPr>
              <w:spacing w:after="0"/>
              <w:rPr>
                <w:sz w:val="1"/>
                <w:szCs w:val="1"/>
                <w:color w:val="auto"/>
              </w:rPr>
            </w:pPr>
          </w:p>
        </w:tc>
      </w:tr>
      <w:tr>
        <w:trPr>
          <w:trHeight w:val="235"/>
        </w:trPr>
        <w:tc>
          <w:tcPr>
            <w:tcW w:w="686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2,634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1,242</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1,124</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3,746</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35"/>
        </w:trPr>
        <w:tc>
          <w:tcPr>
            <w:tcW w:w="68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Other operating expense</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3,364</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3,147</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10,180</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Total operating expense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23,551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74,261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shd w:val="clear" w:color="auto" w:fill="C0C0C0"/>
          </w:tcPr>
          <w:p>
            <w:pPr>
              <w:ind w:left="800"/>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0C0C0"/>
          </w:tcPr>
          <w:p>
            <w:pPr>
              <w:spacing w:after="0"/>
              <w:rPr>
                <w:sz w:val="20"/>
                <w:szCs w:val="20"/>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9,259</w:t>
            </w: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8,077</w:t>
            </w:r>
          </w:p>
        </w:tc>
        <w:tc>
          <w:tcPr>
            <w:tcW w:w="1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25,992</w:t>
            </w:r>
          </w:p>
        </w:tc>
        <w:tc>
          <w:tcPr>
            <w:tcW w:w="1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23,834</w:t>
            </w:r>
          </w:p>
        </w:tc>
        <w:tc>
          <w:tcPr>
            <w:tcW w:w="0" w:type="dxa"/>
            <w:vAlign w:val="bottom"/>
          </w:tcPr>
          <w:p>
            <w:pPr>
              <w:spacing w:after="0"/>
              <w:rPr>
                <w:sz w:val="1"/>
                <w:szCs w:val="1"/>
                <w:color w:val="auto"/>
              </w:rPr>
            </w:pPr>
          </w:p>
        </w:tc>
      </w:tr>
      <w:tr>
        <w:trPr>
          <w:trHeight w:val="242"/>
        </w:trPr>
        <w:tc>
          <w:tcPr>
            <w:tcW w:w="68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1,855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6,309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840" w:type="dxa"/>
            <w:vAlign w:val="bottom"/>
            <w:shd w:val="clear" w:color="auto" w:fill="C0C0C0"/>
          </w:tcPr>
          <w:p>
            <w:pPr>
              <w:ind w:left="8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6,863</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6,222</w:t>
            </w:r>
          </w:p>
        </w:tc>
        <w:tc>
          <w:tcPr>
            <w:tcW w:w="3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19,683</w:t>
            </w:r>
          </w:p>
        </w:tc>
        <w:tc>
          <w:tcPr>
            <w:tcW w:w="3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328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w w:val="98"/>
              </w:rPr>
              <w:t>Nine Months Ended</w:t>
            </w:r>
          </w:p>
        </w:tc>
      </w:tr>
      <w:tr>
        <w:trPr>
          <w:trHeight w:val="252"/>
        </w:trPr>
        <w:tc>
          <w:tcPr>
            <w:tcW w:w="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r>
      <w:tr>
        <w:trPr>
          <w:trHeight w:val="243"/>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35"/>
        </w:trPr>
        <w:tc>
          <w:tcPr>
            <w:tcW w:w="6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6,863</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6,222</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19,683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17,924</w:t>
            </w: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700" w:type="dxa"/>
            <w:vAlign w:val="bottom"/>
          </w:tcPr>
          <w:p>
            <w:pPr>
              <w:ind w:left="260"/>
              <w:spacing w:after="0"/>
              <w:rPr>
                <w:sz w:val="20"/>
                <w:szCs w:val="20"/>
                <w:color w:val="auto"/>
              </w:rPr>
            </w:pPr>
            <w:r>
              <w:rPr>
                <w:rFonts w:ascii="Arial" w:cs="Arial" w:eastAsia="Arial" w:hAnsi="Arial"/>
                <w:sz w:val="18"/>
                <w:szCs w:val="18"/>
                <w:color w:val="auto"/>
              </w:rPr>
              <w:t>Net unrealized (loss) gain on securities available-for-sale</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8,246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5,036</w:t>
            </w:r>
          </w:p>
        </w:tc>
      </w:tr>
      <w:tr>
        <w:trPr>
          <w:trHeight w:val="235"/>
        </w:trPr>
        <w:tc>
          <w:tcPr>
            <w:tcW w:w="20" w:type="dxa"/>
            <w:vAlign w:val="bottom"/>
          </w:tcPr>
          <w:p>
            <w:pPr>
              <w:spacing w:after="0"/>
              <w:rPr>
                <w:sz w:val="20"/>
                <w:szCs w:val="20"/>
                <w:color w:val="auto"/>
              </w:rPr>
            </w:pPr>
          </w:p>
        </w:tc>
        <w:tc>
          <w:tcPr>
            <w:tcW w:w="67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0C0C0"/>
          </w:tcPr>
          <w:p>
            <w:pPr>
              <w:spacing w:after="0"/>
              <w:rPr>
                <w:sz w:val="20"/>
                <w:szCs w:val="20"/>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1,180</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(3,063)</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(1,871)</w:t>
            </w:r>
          </w:p>
        </w:tc>
      </w:tr>
      <w:tr>
        <w:trPr>
          <w:trHeight w:val="259"/>
        </w:trPr>
        <w:tc>
          <w:tcPr>
            <w:tcW w:w="20" w:type="dxa"/>
            <w:vAlign w:val="bottom"/>
          </w:tcPr>
          <w:p>
            <w:pPr>
              <w:spacing w:after="0"/>
              <w:rPr>
                <w:sz w:val="22"/>
                <w:szCs w:val="22"/>
                <w:color w:val="auto"/>
              </w:rPr>
            </w:pPr>
          </w:p>
        </w:tc>
        <w:tc>
          <w:tcPr>
            <w:tcW w:w="67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6700" w:type="dxa"/>
            <w:vAlign w:val="bottom"/>
          </w:tcPr>
          <w:p>
            <w:pPr>
              <w:ind w:left="260"/>
              <w:spacing w:after="0"/>
              <w:rPr>
                <w:sz w:val="20"/>
                <w:szCs w:val="20"/>
                <w:color w:val="auto"/>
              </w:rPr>
            </w:pPr>
            <w:r>
              <w:rPr>
                <w:rFonts w:ascii="Arial" w:cs="Arial" w:eastAsia="Arial" w:hAnsi="Arial"/>
                <w:sz w:val="18"/>
                <w:szCs w:val="18"/>
                <w:color w:val="auto"/>
              </w:rPr>
              <w:t>Reclassification adjustments for gains included in net income</w:t>
            </w:r>
          </w:p>
        </w:tc>
        <w:tc>
          <w:tcPr>
            <w:tcW w:w="1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5"/>
        </w:trPr>
        <w:tc>
          <w:tcPr>
            <w:tcW w:w="20" w:type="dxa"/>
            <w:vAlign w:val="bottom"/>
          </w:tcPr>
          <w:p>
            <w:pPr>
              <w:spacing w:after="0"/>
              <w:rPr>
                <w:sz w:val="20"/>
                <w:szCs w:val="20"/>
                <w:color w:val="auto"/>
              </w:rPr>
            </w:pPr>
          </w:p>
        </w:tc>
        <w:tc>
          <w:tcPr>
            <w:tcW w:w="67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0C0C0"/>
          </w:tcPr>
          <w:p>
            <w:pPr>
              <w:spacing w:after="0"/>
              <w:rPr>
                <w:sz w:val="20"/>
                <w:szCs w:val="20"/>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143</w:t>
            </w:r>
          </w:p>
        </w:tc>
      </w:tr>
      <w:tr>
        <w:trPr>
          <w:trHeight w:val="259"/>
        </w:trPr>
        <w:tc>
          <w:tcPr>
            <w:tcW w:w="20" w:type="dxa"/>
            <w:vAlign w:val="bottom"/>
          </w:tcPr>
          <w:p>
            <w:pPr>
              <w:spacing w:after="0"/>
              <w:rPr>
                <w:sz w:val="22"/>
                <w:szCs w:val="22"/>
                <w:color w:val="auto"/>
              </w:rPr>
            </w:pPr>
          </w:p>
        </w:tc>
        <w:tc>
          <w:tcPr>
            <w:tcW w:w="67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r>
      <w:tr>
        <w:trPr>
          <w:trHeight w:val="242"/>
        </w:trPr>
        <w:tc>
          <w:tcPr>
            <w:tcW w:w="20" w:type="dxa"/>
            <w:vAlign w:val="bottom"/>
          </w:tcPr>
          <w:p>
            <w:pPr>
              <w:spacing w:after="0"/>
              <w:rPr>
                <w:sz w:val="21"/>
                <w:szCs w:val="21"/>
                <w:color w:val="auto"/>
              </w:rPr>
            </w:pPr>
          </w:p>
        </w:tc>
        <w:tc>
          <w:tcPr>
            <w:tcW w:w="670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r>
      <w:tr>
        <w:trPr>
          <w:trHeight w:val="238"/>
        </w:trPr>
        <w:tc>
          <w:tcPr>
            <w:tcW w:w="20" w:type="dxa"/>
            <w:vAlign w:val="bottom"/>
          </w:tcPr>
          <w:p>
            <w:pPr>
              <w:spacing w:after="0"/>
              <w:rPr>
                <w:sz w:val="20"/>
                <w:szCs w:val="20"/>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6,842</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4,235</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25,009</w:t>
            </w:r>
          </w:p>
        </w:tc>
        <w:tc>
          <w:tcPr>
            <w:tcW w:w="4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20,865</w:t>
            </w:r>
          </w:p>
        </w:tc>
      </w:tr>
      <w:tr>
        <w:trPr>
          <w:trHeight w:val="41"/>
        </w:trPr>
        <w:tc>
          <w:tcPr>
            <w:tcW w:w="20" w:type="dxa"/>
            <w:vAlign w:val="bottom"/>
          </w:tcPr>
          <w:p>
            <w:pPr>
              <w:spacing w:after="0"/>
              <w:rPr>
                <w:sz w:val="3"/>
                <w:szCs w:val="3"/>
                <w:color w:val="auto"/>
              </w:rPr>
            </w:pPr>
          </w:p>
        </w:tc>
        <w:tc>
          <w:tcPr>
            <w:tcW w:w="670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19,683</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8,361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6,964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Net gains on sales of securities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1,658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Increase in income tax benefit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in income tax liability</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Increase in pension liability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3,476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in accounts receivable</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(3,637)</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Other operating activities, net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27,936</w:t>
            </w:r>
          </w:p>
        </w:tc>
        <w:tc>
          <w:tcPr>
            <w:tcW w:w="2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25,615</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86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Proceeds from sales of securities available-for-sale</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21,491</w:t>
            </w: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33,856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29,970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Purchase of securities available-for-sale</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(97,473)</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(57,637)</w:t>
            </w: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Net decrease (increase) in loans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6,803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(25,781)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payments in excess of funding</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(14,455)</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42"/>
        </w:trPr>
        <w:tc>
          <w:tcPr>
            <w:tcW w:w="870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(74,049)</w:t>
            </w:r>
          </w:p>
        </w:tc>
        <w:tc>
          <w:tcPr>
            <w:tcW w:w="2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(41,314)</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86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noninterest-bearing demand deposits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(3,243)</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20,561</w:t>
            </w: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(37,855)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time deposits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(2,984)</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Net increase in accounts and drafts payable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44,946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105,503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(7,725)</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(7,406)</w:t>
            </w: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21,468</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65,630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(24,645)</w:t>
            </w: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49,931</w:t>
            </w:r>
          </w:p>
        </w:tc>
        <w:tc>
          <w:tcPr>
            <w:tcW w:w="0" w:type="dxa"/>
            <w:vAlign w:val="bottom"/>
          </w:tcPr>
          <w:p>
            <w:pPr>
              <w:spacing w:after="0"/>
              <w:rPr>
                <w:sz w:val="1"/>
                <w:szCs w:val="1"/>
                <w:color w:val="auto"/>
              </w:rPr>
            </w:pPr>
          </w:p>
        </w:tc>
      </w:tr>
      <w:tr>
        <w:trPr>
          <w:trHeight w:val="242"/>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266,743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253,172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242,098</w:t>
            </w:r>
          </w:p>
        </w:tc>
        <w:tc>
          <w:tcPr>
            <w:tcW w:w="260" w:type="dxa"/>
            <w:vAlign w:val="bottom"/>
            <w:shd w:val="clear" w:color="auto" w:fill="C0C0C0"/>
          </w:tcPr>
          <w:p>
            <w:pPr>
              <w:spacing w:after="0"/>
              <w:rPr>
                <w:sz w:val="22"/>
                <w:szCs w:val="22"/>
                <w:color w:val="auto"/>
              </w:rPr>
            </w:pPr>
          </w:p>
        </w:tc>
        <w:tc>
          <w:tcPr>
            <w:tcW w:w="2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303,103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tcBorders>
              <w:top w:val="single" w:sz="8" w:color="C0C0C0"/>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1,520</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audited consolidated financial statements and related footnotes included in Cass Information System, Inc.’s (the “Company” or “Cass”) Annual Report on Form 10-K for the year ended December 31, 2016</w:t>
      </w:r>
      <w:r>
        <w:rPr>
          <w:rFonts w:ascii="Arial" w:cs="Arial" w:eastAsia="Arial" w:hAnsi="Arial"/>
          <w:sz w:val="13"/>
          <w:szCs w:val="13"/>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March 2017, the Company completed an acquisition and recorded intangible assets of $1,406,000. Those intangible assets were valued as $980,000 for goodwill, $355,000 for the customer list and $71,000 for non-compete agreements.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55"/>
        </w:trPr>
        <w:tc>
          <w:tcPr>
            <w:tcW w:w="6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8"/>
                <w:szCs w:val="18"/>
                <w:b w:val="1"/>
                <w:bCs w:val="1"/>
                <w:color w:val="auto"/>
              </w:rPr>
              <w:t>September 30, 2017</w:t>
            </w: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December 31, 2016</w:t>
            </w:r>
          </w:p>
        </w:tc>
      </w:tr>
      <w:tr>
        <w:trPr>
          <w:trHeight w:val="228"/>
        </w:trPr>
        <w:tc>
          <w:tcPr>
            <w:tcW w:w="62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7"/>
              </w:rPr>
              <w:t>Gross Carrying</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7"/>
              </w:rPr>
              <w:t>Accumulated</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7"/>
              </w:rPr>
              <w:t>Gross Carrying</w:t>
            </w: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w w:val="86"/>
              </w:rPr>
              <w:t>Accumulated</w:t>
            </w:r>
          </w:p>
        </w:tc>
      </w:tr>
      <w:tr>
        <w:trPr>
          <w:trHeight w:val="251"/>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Amount</w:t>
            </w: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9"/>
              </w:rPr>
              <w:t>Amortization</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9"/>
              </w:rPr>
              <w:t>Amortization</w:t>
            </w:r>
          </w:p>
        </w:tc>
      </w:tr>
      <w:tr>
        <w:trPr>
          <w:trHeight w:val="243"/>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(2,610)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3,933</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(2,342)</w:t>
            </w:r>
          </w:p>
        </w:tc>
      </w:tr>
      <w:tr>
        <w:trPr>
          <w:trHeight w:val="251"/>
        </w:trPr>
        <w:tc>
          <w:tcPr>
            <w:tcW w:w="6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Patents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w:t>
            </w: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(261)</w:t>
            </w:r>
          </w:p>
        </w:tc>
      </w:tr>
      <w:tr>
        <w:trPr>
          <w:trHeight w:val="251"/>
        </w:trPr>
        <w:tc>
          <w:tcPr>
            <w:tcW w:w="6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(158)</w:t>
            </w:r>
          </w:p>
        </w:tc>
      </w:tr>
      <w:tr>
        <w:trPr>
          <w:trHeight w:val="251"/>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311"/>
        </w:trPr>
        <w:tc>
          <w:tcPr>
            <w:tcW w:w="6280" w:type="dxa"/>
            <w:vAlign w:val="bottom"/>
            <w:tcBorders>
              <w:bottom w:val="single" w:sz="8" w:color="auto"/>
            </w:tcBorders>
          </w:tcPr>
          <w:p>
            <w:pPr>
              <w:ind w:left="280"/>
              <w:spacing w:after="0" w:line="310"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12,796</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(227)</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11,817</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(227)</w:t>
            </w:r>
          </w:p>
        </w:tc>
      </w:tr>
      <w:tr>
        <w:trPr>
          <w:trHeight w:val="230"/>
        </w:trPr>
        <w:tc>
          <w:tcPr>
            <w:tcW w:w="6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38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(3,547)</w:t>
            </w:r>
          </w:p>
        </w:tc>
        <w:tc>
          <w:tcPr>
            <w:tcW w:w="3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16,817</w:t>
            </w:r>
          </w:p>
        </w:tc>
        <w:tc>
          <w:tcPr>
            <w:tcW w:w="34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(3,230)</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Amortization through December 31, 2001 prior to adoption of FASB ASC 350.</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customer lists are amortized over seven and ten years; the patents over 18 years; the non-compete agreements over two and five years; software over three years; and other intangible assets over fifteen years. Amortization of intangible assets amounted to $317,000 and $305,000 for the nine-month periods ended September 30, 2017 and 2016, respectively. Estimated annual amortization of intangibles is as follows: $427,000 in 2017, $442,000 in 2018, $412,000 in 2019, and $406,000 in each of 2020 and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and nine months ended September 30, 2017 and 2016. The calculations of basic and diluted earnings per share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28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Nine Months Ended</w:t>
            </w:r>
          </w:p>
        </w:tc>
      </w:tr>
      <w:tr>
        <w:trPr>
          <w:trHeight w:val="252"/>
        </w:trPr>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r>
      <w:tr>
        <w:trPr>
          <w:trHeight w:val="243"/>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61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6,863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6,222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19,683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17,924</w:t>
            </w:r>
          </w:p>
        </w:tc>
      </w:tr>
      <w:tr>
        <w:trPr>
          <w:trHeight w:val="244"/>
        </w:trPr>
        <w:tc>
          <w:tcPr>
            <w:tcW w:w="61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11,137,451</w:t>
            </w:r>
          </w:p>
        </w:tc>
        <w:tc>
          <w:tcPr>
            <w:tcW w:w="3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11,110,824</w:t>
            </w:r>
          </w:p>
        </w:tc>
        <w:tc>
          <w:tcPr>
            <w:tcW w:w="3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11,143,116</w:t>
            </w:r>
          </w:p>
        </w:tc>
        <w:tc>
          <w:tcPr>
            <w:tcW w:w="3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7"/>
              </w:rPr>
              <w:t>11,159,469</w:t>
            </w:r>
          </w:p>
        </w:tc>
      </w:tr>
      <w:tr>
        <w:trPr>
          <w:trHeight w:val="237"/>
        </w:trPr>
        <w:tc>
          <w:tcPr>
            <w:tcW w:w="6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1.77</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61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6,863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6,222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19,683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17,924</w:t>
            </w:r>
          </w:p>
        </w:tc>
      </w:tr>
      <w:tr>
        <w:trPr>
          <w:trHeight w:val="251"/>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11,137,451</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11,110,824</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11,143,116</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11,159,469</w:t>
            </w:r>
          </w:p>
        </w:tc>
      </w:tr>
      <w:tr>
        <w:trPr>
          <w:trHeight w:val="237"/>
        </w:trPr>
        <w:tc>
          <w:tcPr>
            <w:tcW w:w="6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164,439</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158,541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166,442</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155,112</w:t>
            </w:r>
          </w:p>
        </w:tc>
      </w:tr>
      <w:tr>
        <w:trPr>
          <w:trHeight w:val="228"/>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w w:val="97"/>
              </w:rPr>
              <w:t>Weighted-average common shares outstanding assuming dilution assuming</w:t>
            </w:r>
          </w:p>
        </w:tc>
        <w:tc>
          <w:tcPr>
            <w:tcW w:w="200" w:type="dxa"/>
            <w:vAlign w:val="bottom"/>
            <w:shd w:val="clear" w:color="auto" w:fill="C0C0C0"/>
          </w:tcPr>
          <w:p>
            <w:pPr>
              <w:spacing w:after="0"/>
              <w:rPr>
                <w:sz w:val="19"/>
                <w:szCs w:val="19"/>
                <w:color w:val="auto"/>
              </w:rPr>
            </w:pPr>
          </w:p>
        </w:tc>
        <w:tc>
          <w:tcPr>
            <w:tcW w:w="10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r>
      <w:tr>
        <w:trPr>
          <w:trHeight w:val="252"/>
        </w:trPr>
        <w:tc>
          <w:tcPr>
            <w:tcW w:w="618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dilution</w:t>
            </w:r>
          </w:p>
        </w:tc>
        <w:tc>
          <w:tcPr>
            <w:tcW w:w="2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11,301,890</w:t>
            </w:r>
          </w:p>
        </w:tc>
        <w:tc>
          <w:tcPr>
            <w:tcW w:w="3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11,269,365</w:t>
            </w:r>
          </w:p>
        </w:tc>
        <w:tc>
          <w:tcPr>
            <w:tcW w:w="3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11,309,558</w:t>
            </w:r>
          </w:p>
        </w:tc>
        <w:tc>
          <w:tcPr>
            <w:tcW w:w="3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7"/>
              </w:rPr>
              <w:t>11,314,581</w:t>
            </w:r>
          </w:p>
        </w:tc>
      </w:tr>
      <w:tr>
        <w:trPr>
          <w:trHeight w:val="237"/>
        </w:trPr>
        <w:tc>
          <w:tcPr>
            <w:tcW w:w="6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As restored by the Board of Directors on October 17, 2016, the program provides that the Company may repurchase up to an aggregate of 500,000 shares of common stock and has no expiration date. The Company repurchased 38,042 and 0 shares during the three-month periods and 38,042 and 187,123 during the nine-month periods ended September 30, 2017 and 2016, respectively. As of September 30, 2017, 461,958 shares remained available for repurchase under the program. Repurchases may be made in the open market or through negotiated transactions from time to time depending on market conditions. On October 24, 2017, the Company’s Board of Directors restored the repurchase program to 500,000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2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processing and capital requirements.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churches.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accounting policies for segments are the same as those described in the summary of significant accounting policies in the Company’s Annual Report on Form 10-K for the year ended December 31, 2016. Management evaluates segment performance based on net income after allocations for corporate expenses and income taxes. Transactions between segments are accounted for at what management believes to be fair value.</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represent actual assets owned by Information Services and Banking Services and there is no allocation methodology used. Segment interest from customers is the actual interest earned on the loans owned by Information Services and Banking Services,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98"/>
              </w:rPr>
              <w:t>Corporate,</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360" w:type="dxa"/>
            <w:vAlign w:val="bottom"/>
          </w:tcPr>
          <w:p>
            <w:pPr>
              <w:spacing w:after="0"/>
              <w:rPr>
                <w:sz w:val="21"/>
                <w:szCs w:val="21"/>
                <w:color w:val="auto"/>
              </w:rPr>
            </w:pPr>
          </w:p>
        </w:tc>
        <w:tc>
          <w:tcPr>
            <w:tcW w:w="34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Information</w:t>
            </w:r>
          </w:p>
        </w:tc>
        <w:tc>
          <w:tcPr>
            <w:tcW w:w="260" w:type="dxa"/>
            <w:vAlign w:val="bottom"/>
          </w:tcPr>
          <w:p>
            <w:pPr>
              <w:spacing w:after="0"/>
              <w:rPr>
                <w:sz w:val="21"/>
                <w:szCs w:val="21"/>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b w:val="1"/>
                <w:bCs w:val="1"/>
                <w:color w:val="auto"/>
                <w:w w:val="92"/>
              </w:rPr>
              <w:t>Banking</w:t>
            </w: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Eliminations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6"/>
              </w:rPr>
              <w:t>Services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Services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and Other</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1"/>
                <w:szCs w:val="21"/>
                <w:color w:val="auto"/>
              </w:rPr>
            </w:pP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September 30, 2017</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27,276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7,025</w:t>
            </w:r>
          </w:p>
        </w:tc>
        <w:tc>
          <w:tcPr>
            <w:tcW w:w="180" w:type="dxa"/>
            <w:vAlign w:val="bottom"/>
            <w:shd w:val="clear" w:color="auto" w:fill="C0C0C0"/>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34,301</w:t>
            </w:r>
          </w:p>
        </w:tc>
        <w:tc>
          <w:tcPr>
            <w:tcW w:w="20" w:type="dxa"/>
            <w:vAlign w:val="bottom"/>
          </w:tcPr>
          <w:p>
            <w:pPr>
              <w:spacing w:after="0"/>
              <w:rPr>
                <w:sz w:val="21"/>
                <w:szCs w:val="21"/>
                <w:color w:val="auto"/>
              </w:rPr>
            </w:pPr>
          </w:p>
        </w:tc>
      </w:tr>
      <w:tr>
        <w:trPr>
          <w:trHeight w:val="235"/>
        </w:trPr>
        <w:tc>
          <w:tcPr>
            <w:tcW w:w="436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3,078</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(3,455)</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4,237</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2,626</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6,863</w:t>
            </w: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12,433</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0"/>
                <w:szCs w:val="20"/>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12,569</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2,106</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21"/>
                <w:szCs w:val="21"/>
                <w:color w:val="auto"/>
              </w:rPr>
            </w:pPr>
          </w:p>
        </w:tc>
      </w:tr>
      <w:tr>
        <w:trPr>
          <w:trHeight w:val="237"/>
        </w:trPr>
        <w:tc>
          <w:tcPr>
            <w:tcW w:w="4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820,596</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738,478</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(2,324)</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1,556,750</w:t>
            </w:r>
          </w:p>
        </w:tc>
        <w:tc>
          <w:tcPr>
            <w:tcW w:w="20" w:type="dxa"/>
            <w:vAlign w:val="bottom"/>
          </w:tcPr>
          <w:p>
            <w:pPr>
              <w:spacing w:after="0"/>
              <w:rPr>
                <w:sz w:val="20"/>
                <w:szCs w:val="20"/>
                <w:color w:val="auto"/>
              </w:rPr>
            </w:pP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September 30, 2016</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25,090</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6,538</w:t>
            </w:r>
          </w:p>
        </w:tc>
        <w:tc>
          <w:tcPr>
            <w:tcW w:w="180" w:type="dxa"/>
            <w:vAlign w:val="bottom"/>
            <w:shd w:val="clear" w:color="auto" w:fill="C0C0C0"/>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31,628</w:t>
            </w:r>
          </w:p>
        </w:tc>
        <w:tc>
          <w:tcPr>
            <w:tcW w:w="20" w:type="dxa"/>
            <w:vAlign w:val="bottom"/>
          </w:tcPr>
          <w:p>
            <w:pPr>
              <w:spacing w:after="0"/>
              <w:rPr>
                <w:sz w:val="21"/>
                <w:szCs w:val="21"/>
                <w:color w:val="auto"/>
              </w:rPr>
            </w:pPr>
          </w:p>
        </w:tc>
      </w:tr>
      <w:tr>
        <w:trPr>
          <w:trHeight w:val="235"/>
        </w:trPr>
        <w:tc>
          <w:tcPr>
            <w:tcW w:w="436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2,797</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(3,213)</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3,806</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2,416</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6,222</w:t>
            </w: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11,454</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0"/>
                <w:szCs w:val="20"/>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11,590</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2,099</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2,099</w:t>
            </w:r>
          </w:p>
        </w:tc>
        <w:tc>
          <w:tcPr>
            <w:tcW w:w="20" w:type="dxa"/>
            <w:vAlign w:val="bottom"/>
          </w:tcPr>
          <w:p>
            <w:pPr>
              <w:spacing w:after="0"/>
              <w:rPr>
                <w:sz w:val="21"/>
                <w:szCs w:val="21"/>
                <w:color w:val="auto"/>
              </w:rPr>
            </w:pPr>
          </w:p>
        </w:tc>
      </w:tr>
      <w:tr>
        <w:trPr>
          <w:trHeight w:val="237"/>
        </w:trPr>
        <w:tc>
          <w:tcPr>
            <w:tcW w:w="4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808,568</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742,933</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(3,848)</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1,547,653</w:t>
            </w:r>
          </w:p>
        </w:tc>
        <w:tc>
          <w:tcPr>
            <w:tcW w:w="20" w:type="dxa"/>
            <w:vAlign w:val="bottom"/>
          </w:tcPr>
          <w:p>
            <w:pPr>
              <w:spacing w:after="0"/>
              <w:rPr>
                <w:sz w:val="20"/>
                <w:szCs w:val="20"/>
                <w:color w:val="auto"/>
              </w:rPr>
            </w:pP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Nine Months Ended September 30, 2017</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79,671</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20,582</w:t>
            </w:r>
          </w:p>
        </w:tc>
        <w:tc>
          <w:tcPr>
            <w:tcW w:w="180" w:type="dxa"/>
            <w:vAlign w:val="bottom"/>
            <w:shd w:val="clear" w:color="auto" w:fill="C0C0C0"/>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100,253</w:t>
            </w:r>
          </w:p>
        </w:tc>
        <w:tc>
          <w:tcPr>
            <w:tcW w:w="20" w:type="dxa"/>
            <w:vAlign w:val="bottom"/>
          </w:tcPr>
          <w:p>
            <w:pPr>
              <w:spacing w:after="0"/>
              <w:rPr>
                <w:sz w:val="21"/>
                <w:szCs w:val="21"/>
                <w:color w:val="auto"/>
              </w:rPr>
            </w:pPr>
          </w:p>
        </w:tc>
      </w:tr>
      <w:tr>
        <w:trPr>
          <w:trHeight w:val="235"/>
        </w:trPr>
        <w:tc>
          <w:tcPr>
            <w:tcW w:w="436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9,090</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1,122</w:t>
            </w:r>
          </w:p>
        </w:tc>
        <w:tc>
          <w:tcPr>
            <w:tcW w:w="18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5"/>
              </w:rPr>
              <w:t>(10,212)</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11,992</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7,691</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19,683</w:t>
            </w: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12,433</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0"/>
                <w:szCs w:val="20"/>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12,569</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2,106</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21"/>
                <w:szCs w:val="21"/>
                <w:color w:val="auto"/>
              </w:rPr>
            </w:pPr>
          </w:p>
        </w:tc>
      </w:tr>
      <w:tr>
        <w:trPr>
          <w:trHeight w:val="237"/>
        </w:trPr>
        <w:tc>
          <w:tcPr>
            <w:tcW w:w="4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820,596</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738,478</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(2,324)</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1,556,750</w:t>
            </w:r>
          </w:p>
        </w:tc>
        <w:tc>
          <w:tcPr>
            <w:tcW w:w="20" w:type="dxa"/>
            <w:vAlign w:val="bottom"/>
          </w:tcPr>
          <w:p>
            <w:pPr>
              <w:spacing w:after="0"/>
              <w:rPr>
                <w:sz w:val="20"/>
                <w:szCs w:val="20"/>
                <w:color w:val="auto"/>
              </w:rPr>
            </w:pP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Nine Months Ended September 30, 2016</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73,084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20,276</w:t>
            </w:r>
          </w:p>
        </w:tc>
        <w:tc>
          <w:tcPr>
            <w:tcW w:w="180" w:type="dxa"/>
            <w:vAlign w:val="bottom"/>
            <w:shd w:val="clear" w:color="auto" w:fill="C0C0C0"/>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93,360</w:t>
            </w:r>
          </w:p>
        </w:tc>
        <w:tc>
          <w:tcPr>
            <w:tcW w:w="20" w:type="dxa"/>
            <w:vAlign w:val="bottom"/>
          </w:tcPr>
          <w:p>
            <w:pPr>
              <w:spacing w:after="0"/>
              <w:rPr>
                <w:sz w:val="21"/>
                <w:szCs w:val="21"/>
                <w:color w:val="auto"/>
              </w:rPr>
            </w:pPr>
          </w:p>
        </w:tc>
      </w:tr>
      <w:tr>
        <w:trPr>
          <w:trHeight w:val="235"/>
        </w:trPr>
        <w:tc>
          <w:tcPr>
            <w:tcW w:w="436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8,870</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5"/>
              </w:rPr>
              <w:t>(10,065)</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10,231</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7,693</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17,924</w:t>
            </w: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11,454</w:t>
            </w:r>
          </w:p>
        </w:tc>
        <w:tc>
          <w:tcPr>
            <w:tcW w:w="26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0"/>
                <w:szCs w:val="20"/>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11,590</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2,099</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2,099</w:t>
            </w:r>
          </w:p>
        </w:tc>
        <w:tc>
          <w:tcPr>
            <w:tcW w:w="20" w:type="dxa"/>
            <w:vAlign w:val="bottom"/>
          </w:tcPr>
          <w:p>
            <w:pPr>
              <w:spacing w:after="0"/>
              <w:rPr>
                <w:sz w:val="21"/>
                <w:szCs w:val="21"/>
                <w:color w:val="auto"/>
              </w:rPr>
            </w:pPr>
          </w:p>
        </w:tc>
      </w:tr>
      <w:tr>
        <w:trPr>
          <w:trHeight w:val="228"/>
        </w:trPr>
        <w:tc>
          <w:tcPr>
            <w:tcW w:w="436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808,568</w:t>
            </w:r>
          </w:p>
        </w:tc>
        <w:tc>
          <w:tcPr>
            <w:tcW w:w="26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742,933</w:t>
            </w:r>
          </w:p>
        </w:tc>
        <w:tc>
          <w:tcPr>
            <w:tcW w:w="18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(3,848)</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1,547,653</w:t>
            </w:r>
          </w:p>
        </w:tc>
        <w:tc>
          <w:tcPr>
            <w:tcW w:w="20" w:type="dxa"/>
            <w:vAlign w:val="bottom"/>
          </w:tcPr>
          <w:p>
            <w:pPr>
              <w:spacing w:after="0"/>
              <w:rPr>
                <w:sz w:val="19"/>
                <w:szCs w:val="19"/>
                <w:color w:val="auto"/>
              </w:rPr>
            </w:pPr>
          </w:p>
        </w:tc>
      </w:tr>
      <w:tr>
        <w:trPr>
          <w:trHeight w:val="446"/>
        </w:trPr>
        <w:tc>
          <w:tcPr>
            <w:tcW w:w="4360" w:type="dxa"/>
            <w:vAlign w:val="bottom"/>
          </w:tcPr>
          <w:p>
            <w:pPr>
              <w:spacing w:after="0"/>
              <w:rPr>
                <w:sz w:val="20"/>
                <w:szCs w:val="20"/>
                <w:color w:val="auto"/>
              </w:rPr>
            </w:pPr>
            <w:r>
              <w:rPr>
                <w:rFonts w:ascii="Arial" w:cs="Arial" w:eastAsia="Arial" w:hAnsi="Arial"/>
                <w:sz w:val="18"/>
                <w:szCs w:val="18"/>
                <w:color w:val="auto"/>
              </w:rPr>
              <w:t>Note 6 – Loans by Type</w:t>
            </w:r>
          </w:p>
        </w:tc>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3"/>
          </w:tcPr>
          <w:p>
            <w:pPr>
              <w:ind w:left="980"/>
              <w:spacing w:after="0"/>
              <w:rPr>
                <w:sz w:val="20"/>
                <w:szCs w:val="20"/>
                <w:color w:val="auto"/>
              </w:rPr>
            </w:pPr>
            <w:r>
              <w:rPr>
                <w:rFonts w:ascii="Arial" w:cs="Arial" w:eastAsia="Arial" w:hAnsi="Arial"/>
                <w:sz w:val="18"/>
                <w:szCs w:val="18"/>
                <w:b w:val="1"/>
                <w:bCs w:val="1"/>
                <w:color w:val="auto"/>
                <w:w w:val="99"/>
              </w:rPr>
              <w:t>September 30,</w:t>
            </w: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w w:val="85"/>
              </w:rPr>
              <w:t>December 31,</w:t>
            </w:r>
          </w:p>
        </w:tc>
        <w:tc>
          <w:tcPr>
            <w:tcW w:w="20" w:type="dxa"/>
            <w:vAlign w:val="bottom"/>
          </w:tcPr>
          <w:p>
            <w:pPr>
              <w:spacing w:after="0"/>
              <w:rPr>
                <w:sz w:val="24"/>
                <w:szCs w:val="24"/>
                <w:color w:val="auto"/>
              </w:rPr>
            </w:pPr>
          </w:p>
        </w:tc>
      </w:tr>
      <w:tr>
        <w:trPr>
          <w:trHeight w:val="252"/>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99"/>
              </w:rPr>
              <w:t>2017</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ind w:left="9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213,942</w:t>
            </w:r>
          </w:p>
        </w:tc>
        <w:tc>
          <w:tcPr>
            <w:tcW w:w="3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214,767</w:t>
            </w:r>
          </w:p>
        </w:tc>
        <w:tc>
          <w:tcPr>
            <w:tcW w:w="20" w:type="dxa"/>
            <w:vAlign w:val="bottom"/>
          </w:tcPr>
          <w:p>
            <w:pPr>
              <w:spacing w:after="0"/>
              <w:rPr>
                <w:sz w:val="21"/>
                <w:szCs w:val="21"/>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Real estate</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820"/>
              <w:spacing w:after="0"/>
              <w:rPr>
                <w:sz w:val="20"/>
                <w:szCs w:val="20"/>
                <w:color w:val="auto"/>
              </w:rPr>
            </w:pPr>
            <w:r>
              <w:rPr>
                <w:rFonts w:ascii="Arial" w:cs="Arial" w:eastAsia="Arial" w:hAnsi="Arial"/>
                <w:sz w:val="18"/>
                <w:szCs w:val="18"/>
                <w:color w:val="auto"/>
              </w:rPr>
              <w:t>Mortgage</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94,485</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104,779</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820"/>
              <w:spacing w:after="0"/>
              <w:rPr>
                <w:sz w:val="20"/>
                <w:szCs w:val="20"/>
                <w:color w:val="auto"/>
              </w:rPr>
            </w:pPr>
            <w:r>
              <w:rPr>
                <w:rFonts w:ascii="Arial" w:cs="Arial" w:eastAsia="Arial" w:hAnsi="Arial"/>
                <w:sz w:val="18"/>
                <w:szCs w:val="18"/>
                <w:color w:val="auto"/>
              </w:rPr>
              <w:t>Construction</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14,919</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322,614</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321,168</w:t>
            </w:r>
          </w:p>
        </w:tc>
        <w:tc>
          <w:tcPr>
            <w:tcW w:w="20" w:type="dxa"/>
            <w:vAlign w:val="bottom"/>
          </w:tcPr>
          <w:p>
            <w:pPr>
              <w:spacing w:after="0"/>
              <w:rPr>
                <w:sz w:val="21"/>
                <w:szCs w:val="21"/>
                <w:color w:val="auto"/>
              </w:rPr>
            </w:pPr>
          </w:p>
        </w:tc>
      </w:tr>
      <w:tr>
        <w:trPr>
          <w:trHeight w:val="235"/>
        </w:trPr>
        <w:tc>
          <w:tcPr>
            <w:tcW w:w="436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7,907</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11,152</w:t>
            </w: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4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4,191</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6,639</w:t>
            </w:r>
          </w:p>
        </w:tc>
        <w:tc>
          <w:tcPr>
            <w:tcW w:w="20" w:type="dxa"/>
            <w:vAlign w:val="bottom"/>
          </w:tcPr>
          <w:p>
            <w:pPr>
              <w:spacing w:after="0"/>
              <w:rPr>
                <w:sz w:val="21"/>
                <w:szCs w:val="21"/>
                <w:color w:val="auto"/>
              </w:rPr>
            </w:pPr>
          </w:p>
        </w:tc>
      </w:tr>
      <w:tr>
        <w:trPr>
          <w:trHeight w:val="23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37"/>
        </w:trPr>
        <w:tc>
          <w:tcPr>
            <w:tcW w:w="436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 loans</w:t>
            </w:r>
          </w:p>
        </w:tc>
        <w:tc>
          <w:tcPr>
            <w:tcW w:w="246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1100" w:type="dxa"/>
            <w:vAlign w:val="bottom"/>
            <w:tcBorders>
              <w:bottom w:val="single" w:sz="8" w:color="auto"/>
            </w:tcBorders>
            <w:shd w:val="clear" w:color="auto" w:fill="C0C0C0"/>
          </w:tcPr>
          <w:p>
            <w:pPr>
              <w:ind w:left="9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658,090</w:t>
            </w:r>
          </w:p>
        </w:tc>
        <w:tc>
          <w:tcPr>
            <w:tcW w:w="32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664,866</w:t>
            </w:r>
          </w:p>
        </w:tc>
        <w:tc>
          <w:tcPr>
            <w:tcW w:w="20" w:type="dxa"/>
            <w:vAlign w:val="bottom"/>
          </w:tcPr>
          <w:p>
            <w:pPr>
              <w:spacing w:after="0"/>
              <w:rPr>
                <w:sz w:val="20"/>
                <w:szCs w:val="20"/>
                <w:color w:val="auto"/>
              </w:rPr>
            </w:pPr>
          </w:p>
        </w:tc>
      </w:tr>
      <w:tr>
        <w:trPr>
          <w:trHeight w:val="430"/>
        </w:trPr>
        <w:tc>
          <w:tcPr>
            <w:tcW w:w="4360" w:type="dxa"/>
            <w:vAlign w:val="bottom"/>
          </w:tcPr>
          <w:p>
            <w:pPr>
              <w:spacing w:after="0"/>
              <w:rPr>
                <w:sz w:val="24"/>
                <w:szCs w:val="24"/>
                <w:color w:val="auto"/>
              </w:rPr>
            </w:pPr>
          </w:p>
        </w:tc>
        <w:tc>
          <w:tcPr>
            <w:tcW w:w="2460" w:type="dxa"/>
            <w:vAlign w:val="bottom"/>
          </w:tcPr>
          <w:p>
            <w:pPr>
              <w:jc w:val="right"/>
              <w:ind w:right="912"/>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3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presents the aging of loans by loan categories at September 30, 2017 and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Performing</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w w:val="92"/>
              </w:rPr>
              <w:t>Nonperforming</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2"/>
              <w:spacing w:after="0"/>
              <w:rPr>
                <w:sz w:val="20"/>
                <w:szCs w:val="20"/>
                <w:color w:val="auto"/>
              </w:rPr>
            </w:pPr>
            <w:r>
              <w:rPr>
                <w:rFonts w:ascii="Arial" w:cs="Arial" w:eastAsia="Arial" w:hAnsi="Arial"/>
                <w:sz w:val="18"/>
                <w:szCs w:val="18"/>
                <w:b w:val="1"/>
                <w:bCs w:val="1"/>
                <w:color w:val="auto"/>
                <w:w w:val="85"/>
              </w:rPr>
              <w:t>90 Days</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30-59</w:t>
            </w:r>
          </w:p>
        </w:tc>
        <w:tc>
          <w:tcPr>
            <w:tcW w:w="24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60-89</w:t>
            </w:r>
          </w:p>
        </w:tc>
        <w:tc>
          <w:tcPr>
            <w:tcW w:w="260" w:type="dxa"/>
            <w:vAlign w:val="bottom"/>
          </w:tcPr>
          <w:p>
            <w:pPr>
              <w:spacing w:after="0"/>
              <w:rPr>
                <w:sz w:val="21"/>
                <w:szCs w:val="21"/>
                <w:color w:val="auto"/>
              </w:rPr>
            </w:pPr>
          </w:p>
        </w:tc>
        <w:tc>
          <w:tcPr>
            <w:tcW w:w="96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and</w:t>
            </w:r>
          </w:p>
        </w:tc>
        <w:tc>
          <w:tcPr>
            <w:tcW w:w="940" w:type="dxa"/>
            <w:vAlign w:val="bottom"/>
            <w:gridSpan w:val="2"/>
          </w:tcPr>
          <w:p>
            <w:pPr>
              <w:jc w:val="right"/>
              <w:ind w:right="199"/>
              <w:spacing w:after="0"/>
              <w:rPr>
                <w:sz w:val="20"/>
                <w:szCs w:val="20"/>
                <w:color w:val="auto"/>
              </w:rPr>
            </w:pPr>
            <w:r>
              <w:rPr>
                <w:rFonts w:ascii="Arial" w:cs="Arial" w:eastAsia="Arial" w:hAnsi="Arial"/>
                <w:sz w:val="18"/>
                <w:szCs w:val="18"/>
                <w:b w:val="1"/>
                <w:bCs w:val="1"/>
                <w:color w:val="auto"/>
              </w:rPr>
              <w:t>Non-</w:t>
            </w:r>
          </w:p>
        </w:tc>
        <w:tc>
          <w:tcPr>
            <w:tcW w:w="2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52"/>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Current</w:t>
            </w:r>
          </w:p>
        </w:tc>
        <w:tc>
          <w:tcPr>
            <w:tcW w:w="34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Days</w:t>
            </w:r>
          </w:p>
        </w:tc>
        <w:tc>
          <w:tcPr>
            <w:tcW w:w="24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Days</w:t>
            </w:r>
          </w:p>
        </w:tc>
        <w:tc>
          <w:tcPr>
            <w:tcW w:w="260" w:type="dxa"/>
            <w:vAlign w:val="bottom"/>
          </w:tcPr>
          <w:p>
            <w:pPr>
              <w:spacing w:after="0"/>
              <w:rPr>
                <w:sz w:val="21"/>
                <w:szCs w:val="21"/>
                <w:color w:val="auto"/>
              </w:rPr>
            </w:pPr>
          </w:p>
        </w:tc>
        <w:tc>
          <w:tcPr>
            <w:tcW w:w="96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Over</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accrual</w:t>
            </w: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Loans</w:t>
            </w:r>
          </w:p>
        </w:tc>
      </w:tr>
      <w:tr>
        <w:trPr>
          <w:trHeight w:val="243"/>
        </w:trPr>
        <w:tc>
          <w:tcPr>
            <w:tcW w:w="36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September 30, 2017</w:t>
            </w:r>
          </w:p>
        </w:tc>
        <w:tc>
          <w:tcPr>
            <w:tcW w:w="180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960" w:type="dxa"/>
            <w:vAlign w:val="bottom"/>
            <w:tcBorders>
              <w:top w:val="single" w:sz="8" w:color="auto"/>
            </w:tcBorders>
            <w:shd w:val="clear" w:color="auto" w:fill="C0C0C0"/>
          </w:tcPr>
          <w:p>
            <w:pPr>
              <w:spacing w:after="0"/>
              <w:rPr>
                <w:sz w:val="21"/>
                <w:szCs w:val="21"/>
                <w:color w:val="auto"/>
              </w:rPr>
            </w:pPr>
          </w:p>
        </w:tc>
        <w:tc>
          <w:tcPr>
            <w:tcW w:w="480" w:type="dxa"/>
            <w:vAlign w:val="bottom"/>
            <w:tcBorders>
              <w:top w:val="single" w:sz="8" w:color="auto"/>
            </w:tcBorders>
            <w:shd w:val="clear" w:color="auto" w:fill="C0C0C0"/>
          </w:tcPr>
          <w:p>
            <w:pPr>
              <w:spacing w:after="0"/>
              <w:rPr>
                <w:sz w:val="21"/>
                <w:szCs w:val="21"/>
                <w:color w:val="auto"/>
              </w:rPr>
            </w:pPr>
          </w:p>
        </w:tc>
        <w:tc>
          <w:tcPr>
            <w:tcW w:w="46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213,942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213,942</w:t>
            </w:r>
          </w:p>
        </w:tc>
      </w:tr>
      <w:tr>
        <w:trPr>
          <w:trHeight w:val="251"/>
        </w:trPr>
        <w:tc>
          <w:tcPr>
            <w:tcW w:w="36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94,270</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ind w:left="6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59"/>
              <w:spacing w:after="0"/>
              <w:rPr>
                <w:sz w:val="20"/>
                <w:szCs w:val="20"/>
                <w:color w:val="auto"/>
              </w:rPr>
            </w:pPr>
            <w:r>
              <w:rPr>
                <w:rFonts w:ascii="Arial" w:cs="Arial" w:eastAsia="Arial" w:hAnsi="Arial"/>
                <w:sz w:val="18"/>
                <w:szCs w:val="18"/>
                <w:color w:val="auto"/>
                <w:w w:val="99"/>
              </w:rPr>
              <w:t>215</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94,485</w:t>
            </w:r>
          </w:p>
        </w:tc>
        <w:tc>
          <w:tcPr>
            <w:tcW w:w="20" w:type="dxa"/>
            <w:vAlign w:val="bottom"/>
          </w:tcPr>
          <w:p>
            <w:pPr>
              <w:spacing w:after="0"/>
              <w:rPr>
                <w:sz w:val="21"/>
                <w:szCs w:val="21"/>
                <w:color w:val="auto"/>
              </w:rPr>
            </w:pPr>
          </w:p>
        </w:tc>
      </w:tr>
      <w:tr>
        <w:trPr>
          <w:trHeight w:val="235"/>
        </w:trPr>
        <w:tc>
          <w:tcPr>
            <w:tcW w:w="36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14,919</w:t>
            </w:r>
          </w:p>
        </w:tc>
        <w:tc>
          <w:tcPr>
            <w:tcW w:w="34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14,919</w:t>
            </w:r>
          </w:p>
        </w:tc>
      </w:tr>
      <w:tr>
        <w:trPr>
          <w:trHeight w:val="251"/>
        </w:trPr>
        <w:tc>
          <w:tcPr>
            <w:tcW w:w="3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322,614</w:t>
            </w:r>
          </w:p>
        </w:tc>
        <w:tc>
          <w:tcPr>
            <w:tcW w:w="34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322,614</w:t>
            </w:r>
          </w:p>
        </w:tc>
      </w:tr>
      <w:tr>
        <w:trPr>
          <w:trHeight w:val="251"/>
        </w:trPr>
        <w:tc>
          <w:tcPr>
            <w:tcW w:w="3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7,907</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ind w:left="6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7,907</w:t>
            </w:r>
          </w:p>
        </w:tc>
        <w:tc>
          <w:tcPr>
            <w:tcW w:w="20" w:type="dxa"/>
            <w:vAlign w:val="bottom"/>
          </w:tcPr>
          <w:p>
            <w:pPr>
              <w:spacing w:after="0"/>
              <w:rPr>
                <w:sz w:val="21"/>
                <w:szCs w:val="21"/>
                <w:color w:val="auto"/>
              </w:rPr>
            </w:pPr>
          </w:p>
        </w:tc>
      </w:t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4,191</w:t>
            </w:r>
          </w:p>
        </w:tc>
        <w:tc>
          <w:tcPr>
            <w:tcW w:w="34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r>
      <w:tr>
        <w:trPr>
          <w:trHeight w:val="244"/>
        </w:trPr>
        <w:tc>
          <w:tcPr>
            <w:tcW w:w="3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ind w:left="6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657,875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w w:val="99"/>
              </w:rPr>
              <w:t>215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658,090</w:t>
            </w:r>
          </w:p>
        </w:tc>
      </w:tr>
      <w:tr>
        <w:trPr>
          <w:trHeight w:val="243"/>
        </w:trPr>
        <w:tc>
          <w:tcPr>
            <w:tcW w:w="36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December 31, 2016</w:t>
            </w:r>
          </w:p>
        </w:tc>
        <w:tc>
          <w:tcPr>
            <w:tcW w:w="180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960" w:type="dxa"/>
            <w:vAlign w:val="bottom"/>
            <w:tcBorders>
              <w:top w:val="single" w:sz="8" w:color="auto"/>
            </w:tcBorders>
            <w:shd w:val="clear" w:color="auto" w:fill="C0C0C0"/>
          </w:tcPr>
          <w:p>
            <w:pPr>
              <w:spacing w:after="0"/>
              <w:rPr>
                <w:sz w:val="21"/>
                <w:szCs w:val="21"/>
                <w:color w:val="auto"/>
              </w:rPr>
            </w:pPr>
          </w:p>
        </w:tc>
        <w:tc>
          <w:tcPr>
            <w:tcW w:w="480" w:type="dxa"/>
            <w:vAlign w:val="bottom"/>
            <w:tcBorders>
              <w:top w:val="single" w:sz="8" w:color="auto"/>
            </w:tcBorders>
            <w:shd w:val="clear" w:color="auto" w:fill="C0C0C0"/>
          </w:tcPr>
          <w:p>
            <w:pPr>
              <w:spacing w:after="0"/>
              <w:rPr>
                <w:sz w:val="21"/>
                <w:szCs w:val="21"/>
                <w:color w:val="auto"/>
              </w:rPr>
            </w:pPr>
          </w:p>
        </w:tc>
        <w:tc>
          <w:tcPr>
            <w:tcW w:w="46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214,767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9"/>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214,767</w:t>
            </w:r>
          </w:p>
        </w:tc>
      </w:tr>
      <w:tr>
        <w:trPr>
          <w:trHeight w:val="251"/>
        </w:trPr>
        <w:tc>
          <w:tcPr>
            <w:tcW w:w="36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104,534</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ind w:left="6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59"/>
              <w:spacing w:after="0"/>
              <w:rPr>
                <w:sz w:val="20"/>
                <w:szCs w:val="20"/>
                <w:color w:val="auto"/>
              </w:rPr>
            </w:pPr>
            <w:r>
              <w:rPr>
                <w:rFonts w:ascii="Arial" w:cs="Arial" w:eastAsia="Arial" w:hAnsi="Arial"/>
                <w:sz w:val="18"/>
                <w:szCs w:val="18"/>
                <w:color w:val="auto"/>
                <w:w w:val="99"/>
              </w:rPr>
              <w:t>245</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104,779</w:t>
            </w:r>
          </w:p>
        </w:tc>
        <w:tc>
          <w:tcPr>
            <w:tcW w:w="20" w:type="dxa"/>
            <w:vAlign w:val="bottom"/>
          </w:tcPr>
          <w:p>
            <w:pPr>
              <w:spacing w:after="0"/>
              <w:rPr>
                <w:sz w:val="21"/>
                <w:szCs w:val="21"/>
                <w:color w:val="auto"/>
              </w:rPr>
            </w:pPr>
          </w:p>
        </w:tc>
      </w:tr>
      <w:tr>
        <w:trPr>
          <w:trHeight w:val="235"/>
        </w:trPr>
        <w:tc>
          <w:tcPr>
            <w:tcW w:w="36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6,325</w:t>
            </w:r>
          </w:p>
        </w:tc>
        <w:tc>
          <w:tcPr>
            <w:tcW w:w="34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6,325</w:t>
            </w:r>
          </w:p>
        </w:tc>
      </w:tr>
      <w:tr>
        <w:trPr>
          <w:trHeight w:val="251"/>
        </w:trPr>
        <w:tc>
          <w:tcPr>
            <w:tcW w:w="3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321,168</w:t>
            </w:r>
          </w:p>
        </w:tc>
        <w:tc>
          <w:tcPr>
            <w:tcW w:w="34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321,168</w:t>
            </w:r>
          </w:p>
        </w:tc>
      </w:tr>
      <w:tr>
        <w:trPr>
          <w:trHeight w:val="251"/>
        </w:trPr>
        <w:tc>
          <w:tcPr>
            <w:tcW w:w="3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8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11,152</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ind w:left="6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59"/>
              <w:spacing w:after="0"/>
              <w:rPr>
                <w:sz w:val="20"/>
                <w:szCs w:val="20"/>
                <w:color w:val="auto"/>
              </w:rPr>
            </w:pPr>
            <w:r>
              <w:rPr>
                <w:rFonts w:ascii="Arial" w:cs="Arial" w:eastAsia="Arial" w:hAnsi="Arial"/>
                <w:sz w:val="14"/>
                <w:szCs w:val="14"/>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11,152</w:t>
            </w:r>
          </w:p>
        </w:tc>
        <w:tc>
          <w:tcPr>
            <w:tcW w:w="20" w:type="dxa"/>
            <w:vAlign w:val="bottom"/>
          </w:tcPr>
          <w:p>
            <w:pPr>
              <w:spacing w:after="0"/>
              <w:rPr>
                <w:sz w:val="21"/>
                <w:szCs w:val="21"/>
                <w:color w:val="auto"/>
              </w:rPr>
            </w:pPr>
          </w:p>
        </w:tc>
      </w:t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6,639</w:t>
            </w:r>
          </w:p>
        </w:tc>
        <w:tc>
          <w:tcPr>
            <w:tcW w:w="34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6,639</w:t>
            </w:r>
          </w:p>
        </w:tc>
      </w:tr>
      <w:tr>
        <w:trPr>
          <w:trHeight w:val="244"/>
        </w:trPr>
        <w:tc>
          <w:tcPr>
            <w:tcW w:w="3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ind w:left="36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ind w:left="6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jc w:val="right"/>
              <w:ind w:right="5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664,609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w w:val="99"/>
              </w:rPr>
              <w:t>245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664,866</w:t>
            </w:r>
          </w:p>
        </w:tc>
      </w:tr>
      <w:tr>
        <w:trPr>
          <w:trHeight w:val="430"/>
        </w:trPr>
        <w:tc>
          <w:tcPr>
            <w:tcW w:w="36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6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presents the credit exposure of the loan portfolio as of September 30, 2017 and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20" w:type="dxa"/>
            <w:vAlign w:val="bottom"/>
          </w:tcPr>
          <w:p>
            <w:pPr>
              <w:jc w:val="center"/>
              <w:ind w:right="172"/>
              <w:spacing w:after="0"/>
              <w:rPr>
                <w:sz w:val="20"/>
                <w:szCs w:val="20"/>
                <w:color w:val="auto"/>
              </w:rPr>
            </w:pPr>
            <w:r>
              <w:rPr>
                <w:rFonts w:ascii="Arial" w:cs="Arial" w:eastAsia="Arial" w:hAnsi="Arial"/>
                <w:sz w:val="18"/>
                <w:szCs w:val="18"/>
                <w:b w:val="1"/>
                <w:bCs w:val="1"/>
                <w:color w:val="auto"/>
                <w:w w:val="86"/>
              </w:rPr>
              <w:t>Loans</w:t>
            </w:r>
          </w:p>
        </w:tc>
        <w:tc>
          <w:tcPr>
            <w:tcW w:w="24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Performing</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Nonperforming</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4180" w:type="dxa"/>
            <w:vAlign w:val="bottom"/>
          </w:tcPr>
          <w:p>
            <w:pPr>
              <w:spacing w:after="0"/>
              <w:rPr>
                <w:sz w:val="21"/>
                <w:szCs w:val="21"/>
                <w:color w:val="auto"/>
              </w:rPr>
            </w:pPr>
          </w:p>
        </w:tc>
        <w:tc>
          <w:tcPr>
            <w:tcW w:w="3280" w:type="dxa"/>
            <w:vAlign w:val="bottom"/>
            <w:gridSpan w:val="2"/>
          </w:tcPr>
          <w:p>
            <w:pPr>
              <w:jc w:val="center"/>
              <w:ind w:left="1992"/>
              <w:spacing w:after="0"/>
              <w:rPr>
                <w:sz w:val="20"/>
                <w:szCs w:val="20"/>
                <w:color w:val="auto"/>
              </w:rPr>
            </w:pPr>
            <w:r>
              <w:rPr>
                <w:rFonts w:ascii="Arial" w:cs="Arial" w:eastAsia="Arial" w:hAnsi="Arial"/>
                <w:sz w:val="18"/>
                <w:szCs w:val="18"/>
                <w:b w:val="1"/>
                <w:bCs w:val="1"/>
                <w:color w:val="auto"/>
                <w:w w:val="87"/>
              </w:rPr>
              <w:t>Subject to</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Loans Subject to</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41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2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Normal</w:t>
            </w:r>
          </w:p>
        </w:tc>
        <w:tc>
          <w:tcPr>
            <w:tcW w:w="24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200" w:type="dxa"/>
            <w:vAlign w:val="bottom"/>
          </w:tcPr>
          <w:p>
            <w:pPr>
              <w:jc w:val="center"/>
              <w:ind w:right="172"/>
              <w:spacing w:after="0"/>
              <w:rPr>
                <w:sz w:val="20"/>
                <w:szCs w:val="20"/>
                <w:color w:val="auto"/>
              </w:rPr>
            </w:pPr>
            <w:r>
              <w:rPr>
                <w:rFonts w:ascii="Arial" w:cs="Arial" w:eastAsia="Arial" w:hAnsi="Arial"/>
                <w:sz w:val="18"/>
                <w:szCs w:val="18"/>
                <w:b w:val="1"/>
                <w:bCs w:val="1"/>
                <w:color w:val="auto"/>
                <w:w w:val="86"/>
              </w:rPr>
              <w:t>to Special</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26"/>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80" w:type="dxa"/>
            <w:vAlign w:val="bottom"/>
            <w:tcBorders>
              <w:bottom w:val="single" w:sz="8" w:color="auto"/>
            </w:tcBorders>
            <w:gridSpan w:val="2"/>
          </w:tcPr>
          <w:p>
            <w:pPr>
              <w:ind w:left="2220"/>
              <w:spacing w:after="0"/>
              <w:rPr>
                <w:sz w:val="20"/>
                <w:szCs w:val="20"/>
                <w:color w:val="auto"/>
              </w:rPr>
            </w:pPr>
            <w:r>
              <w:rPr>
                <w:rFonts w:ascii="Arial" w:cs="Arial" w:eastAsia="Arial" w:hAnsi="Arial"/>
                <w:sz w:val="18"/>
                <w:szCs w:val="18"/>
                <w:b w:val="1"/>
                <w:bCs w:val="1"/>
                <w:color w:val="auto"/>
              </w:rPr>
              <w:t>Monitoring</w:t>
            </w:r>
            <w:r>
              <w:rPr>
                <w:rFonts w:ascii="Arial" w:cs="Arial" w:eastAsia="Arial" w:hAnsi="Arial"/>
                <w:sz w:val="22"/>
                <w:szCs w:val="22"/>
                <w:b w:val="1"/>
                <w:bCs w:val="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5"/>
              </w:rPr>
              <w:t>Total Loans</w:t>
            </w:r>
          </w:p>
        </w:tc>
      </w:tr>
      <w:tr>
        <w:trPr>
          <w:trHeight w:val="237"/>
        </w:trPr>
        <w:tc>
          <w:tcPr>
            <w:tcW w:w="41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September 30, 2017</w:t>
            </w:r>
          </w:p>
        </w:tc>
        <w:tc>
          <w:tcPr>
            <w:tcW w:w="236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360" w:type="dxa"/>
            <w:vAlign w:val="bottom"/>
          </w:tcPr>
          <w:p>
            <w:pPr>
              <w:ind w:left="2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211,820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2,122</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213,942</w:t>
            </w:r>
          </w:p>
        </w:tc>
      </w:tr>
      <w:tr>
        <w:trPr>
          <w:trHeight w:val="251"/>
        </w:trPr>
        <w:tc>
          <w:tcPr>
            <w:tcW w:w="41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93,560</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94,485</w:t>
            </w: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14,919</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14,919</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322,561</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322,614</w:t>
            </w: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7,907</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7,907</w:t>
            </w: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4,191</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4,191</w:t>
            </w:r>
          </w:p>
        </w:tc>
      </w:tr>
      <w:tr>
        <w:trPr>
          <w:trHeight w:val="244"/>
        </w:trPr>
        <w:tc>
          <w:tcPr>
            <w:tcW w:w="4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654,990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2,885</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215</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658,090</w:t>
            </w:r>
          </w:p>
        </w:tc>
      </w:tr>
      <w:tr>
        <w:trPr>
          <w:trHeight w:val="243"/>
        </w:trPr>
        <w:tc>
          <w:tcPr>
            <w:tcW w:w="41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December 31, 2016</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360" w:type="dxa"/>
            <w:vAlign w:val="bottom"/>
          </w:tcPr>
          <w:p>
            <w:pPr>
              <w:ind w:left="2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213,024</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1,743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214,767</w:t>
            </w:r>
          </w:p>
        </w:tc>
      </w:tr>
      <w:tr>
        <w:trPr>
          <w:trHeight w:val="251"/>
        </w:trPr>
        <w:tc>
          <w:tcPr>
            <w:tcW w:w="41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103,778</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104,779</w:t>
            </w: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6,325</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6,325</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318,030</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3,138</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321,168</w:t>
            </w: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11,152</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11,152</w:t>
            </w: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6,639</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6,639</w:t>
            </w:r>
          </w:p>
        </w:tc>
      </w:tr>
      <w:tr>
        <w:trPr>
          <w:trHeight w:val="244"/>
        </w:trPr>
        <w:tc>
          <w:tcPr>
            <w:tcW w:w="4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28"/>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ind w:left="2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658,984</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5,637</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664,866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187"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4"/>
          <w:szCs w:val="14"/>
          <w:color w:val="auto"/>
        </w:rPr>
        <w:t>Loans subject to special monitoring possess some credit deficiency or potential weakness which requires a high level of management attention.</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At September 30, 2017 and December 31, 2016, impaired loans were evaluated using the expected cash flow method. There were no loans delinquent 90 days or more and still accruing interest at September 30, 2017 or December 31, 2016. There were no loans classified as troubled debt restructuring at September 30, 2017 or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foreclosed loans recorded as other real estate owned (included in other assets) as of September 30, 2017 and December 31, 2016.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presents the recorded investment and unpaid principal balance for impaired loans at September 30, 2017 and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Unpaid</w:t>
            </w:r>
          </w:p>
        </w:tc>
        <w:tc>
          <w:tcPr>
            <w:tcW w:w="30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Related</w:t>
            </w:r>
          </w:p>
        </w:tc>
      </w:tr>
      <w:tr>
        <w:trPr>
          <w:trHeight w:val="243"/>
        </w:trPr>
        <w:tc>
          <w:tcPr>
            <w:tcW w:w="5180" w:type="dxa"/>
            <w:vAlign w:val="bottom"/>
          </w:tcPr>
          <w:p>
            <w:pPr>
              <w:spacing w:after="0"/>
              <w:rPr>
                <w:sz w:val="21"/>
                <w:szCs w:val="21"/>
                <w:color w:val="auto"/>
              </w:rPr>
            </w:pPr>
          </w:p>
        </w:tc>
        <w:tc>
          <w:tcPr>
            <w:tcW w:w="4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Recorded</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Principal</w:t>
            </w: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w w:val="86"/>
              </w:rPr>
              <w:t>Allowance for</w:t>
            </w:r>
          </w:p>
        </w:tc>
      </w:tr>
      <w:tr>
        <w:trPr>
          <w:trHeight w:val="25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100" w:type="dxa"/>
            <w:vAlign w:val="bottom"/>
            <w:tcBorders>
              <w:bottom w:val="single" w:sz="8" w:color="auto"/>
            </w:tcBorders>
            <w:gridSpan w:val="2"/>
          </w:tcPr>
          <w:p>
            <w:pPr>
              <w:ind w:left="3140"/>
              <w:spacing w:after="0"/>
              <w:rPr>
                <w:sz w:val="20"/>
                <w:szCs w:val="20"/>
                <w:color w:val="auto"/>
              </w:rPr>
            </w:pPr>
            <w:r>
              <w:rPr>
                <w:rFonts w:ascii="Arial" w:cs="Arial" w:eastAsia="Arial" w:hAnsi="Arial"/>
                <w:sz w:val="18"/>
                <w:szCs w:val="18"/>
                <w:b w:val="1"/>
                <w:bCs w:val="1"/>
                <w:color w:val="auto"/>
                <w:w w:val="98"/>
              </w:rPr>
              <w:t>Investment</w:t>
            </w: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Balance</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87"/>
              </w:rPr>
              <w:t>Loan Losses</w:t>
            </w:r>
          </w:p>
        </w:tc>
      </w:tr>
      <w:tr>
        <w:trPr>
          <w:trHeight w:val="243"/>
        </w:trPr>
        <w:tc>
          <w:tcPr>
            <w:tcW w:w="51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September 30, 2017</w:t>
            </w:r>
          </w:p>
        </w:tc>
        <w:tc>
          <w:tcPr>
            <w:tcW w:w="34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3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3460" w:type="dxa"/>
            <w:vAlign w:val="bottom"/>
            <w:shd w:val="clear" w:color="auto" w:fill="C0C0C0"/>
          </w:tcPr>
          <w:p>
            <w:pPr>
              <w:ind w:left="3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Real estate</w:t>
            </w:r>
          </w:p>
        </w:tc>
        <w:tc>
          <w:tcPr>
            <w:tcW w:w="3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 Mortgage:</w:t>
            </w:r>
          </w:p>
        </w:tc>
        <w:tc>
          <w:tcPr>
            <w:tcW w:w="34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180" w:type="dxa"/>
            <w:vAlign w:val="bottom"/>
          </w:tcPr>
          <w:p>
            <w:pPr>
              <w:ind w:left="540"/>
              <w:spacing w:after="0"/>
              <w:rPr>
                <w:sz w:val="20"/>
                <w:szCs w:val="20"/>
                <w:color w:val="auto"/>
              </w:rPr>
            </w:pPr>
            <w:r>
              <w:rPr>
                <w:rFonts w:ascii="Arial" w:cs="Arial" w:eastAsia="Arial" w:hAnsi="Arial"/>
                <w:sz w:val="18"/>
                <w:szCs w:val="18"/>
                <w:color w:val="auto"/>
              </w:rPr>
              <w:t>Nonaccrual</w:t>
            </w:r>
          </w:p>
        </w:tc>
        <w:tc>
          <w:tcPr>
            <w:tcW w:w="34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51"/>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 Mortgage:</w:t>
            </w:r>
          </w:p>
        </w:tc>
        <w:tc>
          <w:tcPr>
            <w:tcW w:w="34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7"/>
        </w:trPr>
        <w:tc>
          <w:tcPr>
            <w:tcW w:w="5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Nonaccrual</w:t>
            </w:r>
          </w:p>
        </w:tc>
        <w:tc>
          <w:tcPr>
            <w:tcW w:w="3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r>
      <w:tr>
        <w:trPr>
          <w:trHeight w:val="237"/>
        </w:trPr>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impaired loans</w:t>
            </w:r>
          </w:p>
        </w:tc>
        <w:tc>
          <w:tcPr>
            <w:tcW w:w="3460" w:type="dxa"/>
            <w:vAlign w:val="bottom"/>
            <w:tcBorders>
              <w:bottom w:val="single" w:sz="8" w:color="auto"/>
            </w:tcBorders>
            <w:shd w:val="clear" w:color="auto" w:fill="C0C0C0"/>
          </w:tcPr>
          <w:p>
            <w:pPr>
              <w:ind w:left="3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215</w:t>
            </w:r>
          </w:p>
        </w:tc>
        <w:tc>
          <w:tcPr>
            <w:tcW w:w="40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215</w:t>
            </w:r>
          </w:p>
        </w:tc>
        <w:tc>
          <w:tcPr>
            <w:tcW w:w="30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5"/>
        </w:trPr>
        <w:tc>
          <w:tcPr>
            <w:tcW w:w="5180" w:type="dxa"/>
            <w:vAlign w:val="bottom"/>
          </w:tcPr>
          <w:p>
            <w:pPr>
              <w:spacing w:after="0"/>
              <w:rPr>
                <w:sz w:val="20"/>
                <w:szCs w:val="20"/>
                <w:color w:val="auto"/>
              </w:rPr>
            </w:pPr>
            <w:r>
              <w:rPr>
                <w:rFonts w:ascii="Arial" w:cs="Arial" w:eastAsia="Arial" w:hAnsi="Arial"/>
                <w:sz w:val="18"/>
                <w:szCs w:val="18"/>
                <w:i w:val="1"/>
                <w:iCs w:val="1"/>
                <w:color w:val="auto"/>
              </w:rPr>
              <w:t>December 31, 2016</w:t>
            </w:r>
          </w:p>
        </w:tc>
        <w:tc>
          <w:tcPr>
            <w:tcW w:w="3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34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180" w:type="dxa"/>
            <w:vAlign w:val="bottom"/>
          </w:tcPr>
          <w:p>
            <w:pPr>
              <w:ind w:left="540"/>
              <w:spacing w:after="0"/>
              <w:rPr>
                <w:sz w:val="20"/>
                <w:szCs w:val="20"/>
                <w:color w:val="auto"/>
              </w:rPr>
            </w:pPr>
            <w:r>
              <w:rPr>
                <w:rFonts w:ascii="Arial" w:cs="Arial" w:eastAsia="Arial" w:hAnsi="Arial"/>
                <w:sz w:val="18"/>
                <w:szCs w:val="18"/>
                <w:color w:val="auto"/>
              </w:rPr>
              <w:t>Nonaccrual</w:t>
            </w:r>
          </w:p>
        </w:tc>
        <w:tc>
          <w:tcPr>
            <w:tcW w:w="3460" w:type="dxa"/>
            <w:vAlign w:val="bottom"/>
          </w:tcPr>
          <w:p>
            <w:pPr>
              <w:ind w:left="3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51"/>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34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Commercial – Mortgage:</w:t>
            </w:r>
          </w:p>
        </w:tc>
        <w:tc>
          <w:tcPr>
            <w:tcW w:w="3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34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Church – Mortgage:</w:t>
            </w:r>
          </w:p>
        </w:tc>
        <w:tc>
          <w:tcPr>
            <w:tcW w:w="3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4"/>
        </w:trPr>
        <w:tc>
          <w:tcPr>
            <w:tcW w:w="518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34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impaired loans</w:t>
            </w:r>
          </w:p>
        </w:tc>
        <w:tc>
          <w:tcPr>
            <w:tcW w:w="3460" w:type="dxa"/>
            <w:vAlign w:val="bottom"/>
            <w:tcBorders>
              <w:bottom w:val="single" w:sz="8" w:color="auto"/>
            </w:tcBorders>
          </w:tcPr>
          <w:p>
            <w:pPr>
              <w:ind w:left="3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2016 to September 30, 2017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31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December 31,</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Charge-</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w w:val="86"/>
              </w:rPr>
              <w:t>September 30,</w:t>
            </w:r>
          </w:p>
        </w:tc>
        <w:tc>
          <w:tcPr>
            <w:tcW w:w="20" w:type="dxa"/>
            <w:vAlign w:val="bottom"/>
          </w:tcPr>
          <w:p>
            <w:pPr>
              <w:spacing w:after="0"/>
              <w:rPr>
                <w:sz w:val="19"/>
                <w:szCs w:val="19"/>
                <w:color w:val="auto"/>
              </w:rPr>
            </w:pPr>
          </w:p>
        </w:tc>
      </w:tr>
      <w:tr>
        <w:trPr>
          <w:trHeight w:val="252"/>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4"/>
              </w:rPr>
              <w:t>Offs</w:t>
            </w:r>
          </w:p>
        </w:tc>
        <w:tc>
          <w:tcPr>
            <w:tcW w:w="10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7"/>
              </w:rPr>
              <w:t>Recoveries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5"/>
              </w:rPr>
              <w:t>Provision</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1"/>
                <w:szCs w:val="21"/>
                <w:color w:val="auto"/>
              </w:rPr>
            </w:pPr>
          </w:p>
        </w:tc>
      </w:tr>
      <w:tr>
        <w:trPr>
          <w:trHeight w:val="243"/>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3,261</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3,227</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4,027</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4,047</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r>
      <w:tr>
        <w:trPr>
          <w:trHeight w:val="23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992</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210</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20"/>
                <w:szCs w:val="20"/>
                <w:color w:val="auto"/>
              </w:rPr>
            </w:pPr>
          </w:p>
        </w:tc>
      </w:tr>
      <w:tr>
        <w:trPr>
          <w:trHeight w:val="237"/>
        </w:trPr>
        <w:tc>
          <w:tcPr>
            <w:tcW w:w="37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10,175</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10,202</w:t>
            </w:r>
          </w:p>
        </w:tc>
        <w:tc>
          <w:tcPr>
            <w:tcW w:w="20" w:type="dxa"/>
            <w:vAlign w:val="bottom"/>
          </w:tcPr>
          <w:p>
            <w:pPr>
              <w:spacing w:after="0"/>
              <w:rPr>
                <w:sz w:val="20"/>
                <w:szCs w:val="20"/>
                <w:color w:val="auto"/>
              </w:rPr>
            </w:pPr>
          </w:p>
        </w:tc>
      </w:tr>
      <w:tr>
        <w:trPr>
          <w:trHeight w:val="430"/>
        </w:trPr>
        <w:tc>
          <w:tcPr>
            <w:tcW w:w="8600" w:type="dxa"/>
            <w:vAlign w:val="bottom"/>
            <w:gridSpan w:val="6"/>
          </w:tcPr>
          <w:p>
            <w:pPr>
              <w:spacing w:after="0"/>
              <w:rPr>
                <w:sz w:val="20"/>
                <w:szCs w:val="20"/>
                <w:color w:val="auto"/>
              </w:rPr>
            </w:pPr>
            <w:r>
              <w:rPr>
                <w:rFonts w:ascii="Arial" w:cs="Arial" w:eastAsia="Arial" w:hAnsi="Arial"/>
                <w:sz w:val="18"/>
                <w:szCs w:val="18"/>
                <w:color w:val="auto"/>
                <w:w w:val="89"/>
              </w:rPr>
              <w:t>A summary of the activity in the allowance for loan losses from December 31, 2015 to September 30, 2016 is as follows: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3760" w:type="dxa"/>
            <w:vAlign w:val="bottom"/>
          </w:tcPr>
          <w:p>
            <w:pPr>
              <w:spacing w:after="0"/>
              <w:rPr>
                <w:sz w:val="24"/>
                <w:szCs w:val="24"/>
                <w:color w:val="auto"/>
              </w:rPr>
            </w:pPr>
          </w:p>
        </w:tc>
        <w:tc>
          <w:tcPr>
            <w:tcW w:w="3180" w:type="dxa"/>
            <w:vAlign w:val="bottom"/>
            <w:gridSpan w:val="2"/>
          </w:tcPr>
          <w:p>
            <w:pPr>
              <w:ind w:left="206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Charge-</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w w:val="86"/>
              </w:rPr>
              <w:t>September 30,</w:t>
            </w:r>
          </w:p>
        </w:tc>
        <w:tc>
          <w:tcPr>
            <w:tcW w:w="20" w:type="dxa"/>
            <w:vAlign w:val="bottom"/>
          </w:tcPr>
          <w:p>
            <w:pPr>
              <w:spacing w:after="0"/>
              <w:rPr>
                <w:sz w:val="24"/>
                <w:szCs w:val="24"/>
                <w:color w:val="auto"/>
              </w:rPr>
            </w:pPr>
          </w:p>
        </w:tc>
      </w:tr>
      <w:tr>
        <w:trPr>
          <w:trHeight w:val="252"/>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4"/>
              </w:rPr>
              <w:t>Offs</w:t>
            </w:r>
          </w:p>
        </w:tc>
        <w:tc>
          <w:tcPr>
            <w:tcW w:w="10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93"/>
              </w:rPr>
              <w:t>Recoveries</w:t>
            </w:r>
          </w:p>
        </w:tc>
        <w:tc>
          <w:tcPr>
            <w:tcW w:w="11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Provision</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r>
      <w:tr>
        <w:trPr>
          <w:trHeight w:val="243"/>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40" w:type="dxa"/>
            <w:vAlign w:val="bottom"/>
            <w:shd w:val="clear" w:color="auto" w:fill="C0C0C0"/>
          </w:tcPr>
          <w:p>
            <w:pPr>
              <w:ind w:left="2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3,083</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3,338</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2,803</w:t>
            </w:r>
          </w:p>
        </w:tc>
        <w:tc>
          <w:tcPr>
            <w:tcW w:w="280" w:type="dxa"/>
            <w:vAlign w:val="bottom"/>
          </w:tcPr>
          <w:p>
            <w:pPr>
              <w:spacing w:after="0"/>
              <w:rPr>
                <w:sz w:val="20"/>
                <w:szCs w:val="20"/>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(1,179)</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w:t>
            </w: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4,082</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4,130</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20"/>
                <w:szCs w:val="20"/>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1"/>
                <w:szCs w:val="21"/>
                <w:color w:val="auto"/>
              </w:rPr>
            </w:pPr>
          </w:p>
        </w:tc>
      </w:tr>
      <w:tr>
        <w:trPr>
          <w:trHeight w:val="23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1,121</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20"/>
                <w:szCs w:val="20"/>
                <w:color w:val="auto"/>
              </w:rPr>
            </w:pPr>
          </w:p>
        </w:tc>
      </w:tr>
      <w:tr>
        <w:trPr>
          <w:trHeight w:val="237"/>
        </w:trPr>
        <w:tc>
          <w:tcPr>
            <w:tcW w:w="37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0C0C0"/>
          </w:tcPr>
          <w:p>
            <w:pPr>
              <w:ind w:left="20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11,635</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10,673</w:t>
            </w:r>
          </w:p>
        </w:tc>
        <w:tc>
          <w:tcPr>
            <w:tcW w:w="20" w:type="dxa"/>
            <w:vAlign w:val="bottom"/>
          </w:tcPr>
          <w:p>
            <w:pPr>
              <w:spacing w:after="0"/>
              <w:rPr>
                <w:sz w:val="20"/>
                <w:szCs w:val="20"/>
                <w:color w:val="auto"/>
              </w:rPr>
            </w:pPr>
          </w:p>
        </w:tc>
      </w:tr>
      <w:tr>
        <w:trPr>
          <w:trHeight w:val="430"/>
        </w:trPr>
        <w:tc>
          <w:tcPr>
            <w:tcW w:w="3760" w:type="dxa"/>
            <w:vAlign w:val="bottom"/>
          </w:tcPr>
          <w:p>
            <w:pPr>
              <w:spacing w:after="0"/>
              <w:rPr>
                <w:sz w:val="24"/>
                <w:szCs w:val="24"/>
                <w:color w:val="auto"/>
              </w:rPr>
            </w:pPr>
          </w:p>
        </w:tc>
        <w:tc>
          <w:tcPr>
            <w:tcW w:w="224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 7 – Commitments and Contingencies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September 30, 2017 and December 31, 2016,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The balance of unused loan commitments, standby and commercial letters of credit were $91,117,000, $13,841,000, and $3,184,000 at September 30, 2017.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September 30,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w w:val="90"/>
              </w:rPr>
              <w:t>Amount of Commitment Expiration per Period</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Less than</w:t>
            </w:r>
          </w:p>
        </w:tc>
        <w:tc>
          <w:tcPr>
            <w:tcW w:w="340" w:type="dxa"/>
            <w:vAlign w:val="bottom"/>
          </w:tcPr>
          <w:p>
            <w:pPr>
              <w:spacing w:after="0"/>
              <w:rPr>
                <w:sz w:val="19"/>
                <w:szCs w:val="19"/>
                <w:color w:val="auto"/>
              </w:rPr>
            </w:pPr>
          </w:p>
        </w:tc>
        <w:tc>
          <w:tcPr>
            <w:tcW w:w="80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1-3</w:t>
            </w:r>
          </w:p>
        </w:tc>
        <w:tc>
          <w:tcPr>
            <w:tcW w:w="480" w:type="dxa"/>
            <w:vAlign w:val="bottom"/>
          </w:tcPr>
          <w:p>
            <w:pPr>
              <w:spacing w:after="0"/>
              <w:rPr>
                <w:sz w:val="19"/>
                <w:szCs w:val="19"/>
                <w:color w:val="auto"/>
              </w:rPr>
            </w:pPr>
          </w:p>
        </w:tc>
        <w:tc>
          <w:tcPr>
            <w:tcW w:w="1040" w:type="dxa"/>
            <w:vAlign w:val="bottom"/>
          </w:tcPr>
          <w:p>
            <w:pPr>
              <w:jc w:val="center"/>
              <w:ind w:right="332"/>
              <w:spacing w:after="0"/>
              <w:rPr>
                <w:sz w:val="20"/>
                <w:szCs w:val="20"/>
                <w:color w:val="auto"/>
              </w:rPr>
            </w:pPr>
            <w:r>
              <w:rPr>
                <w:rFonts w:ascii="Arial" w:cs="Arial" w:eastAsia="Arial" w:hAnsi="Arial"/>
                <w:sz w:val="18"/>
                <w:szCs w:val="18"/>
                <w:b w:val="1"/>
                <w:bCs w:val="1"/>
                <w:color w:val="auto"/>
                <w:w w:val="84"/>
              </w:rPr>
              <w:t>3-5</w:t>
            </w:r>
          </w:p>
        </w:tc>
        <w:tc>
          <w:tcPr>
            <w:tcW w:w="2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Over 5</w:t>
            </w:r>
          </w:p>
        </w:tc>
        <w:tc>
          <w:tcPr>
            <w:tcW w:w="20" w:type="dxa"/>
            <w:vAlign w:val="bottom"/>
          </w:tcPr>
          <w:p>
            <w:pPr>
              <w:spacing w:after="0"/>
              <w:rPr>
                <w:sz w:val="19"/>
                <w:szCs w:val="19"/>
                <w:color w:val="auto"/>
              </w:rPr>
            </w:pPr>
          </w:p>
        </w:tc>
      </w:tr>
      <w:tr>
        <w:trPr>
          <w:trHeight w:val="265"/>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3"/>
                <w:szCs w:val="23"/>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w w:val="97"/>
              </w:rPr>
              <w:t>Total</w:t>
            </w:r>
          </w:p>
        </w:tc>
        <w:tc>
          <w:tcPr>
            <w:tcW w:w="260" w:type="dxa"/>
            <w:vAlign w:val="bottom"/>
          </w:tcPr>
          <w:p>
            <w:pPr>
              <w:spacing w:after="0"/>
              <w:rPr>
                <w:sz w:val="23"/>
                <w:szCs w:val="23"/>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w w:val="92"/>
              </w:rPr>
              <w:t>1 Year</w:t>
            </w:r>
          </w:p>
        </w:tc>
        <w:tc>
          <w:tcPr>
            <w:tcW w:w="3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Years</w:t>
            </w:r>
          </w:p>
        </w:tc>
        <w:tc>
          <w:tcPr>
            <w:tcW w:w="480" w:type="dxa"/>
            <w:vAlign w:val="bottom"/>
          </w:tcPr>
          <w:p>
            <w:pPr>
              <w:spacing w:after="0"/>
              <w:rPr>
                <w:sz w:val="23"/>
                <w:szCs w:val="23"/>
                <w:color w:val="auto"/>
              </w:rPr>
            </w:pP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Years</w:t>
            </w:r>
          </w:p>
        </w:tc>
      </w:tr>
      <w:tr>
        <w:trPr>
          <w:trHeight w:val="243"/>
        </w:trPr>
        <w:tc>
          <w:tcPr>
            <w:tcW w:w="57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6,798</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1,498</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center"/>
              <w:ind w:right="92"/>
              <w:spacing w:after="0"/>
              <w:rPr>
                <w:sz w:val="20"/>
                <w:szCs w:val="20"/>
                <w:color w:val="auto"/>
              </w:rPr>
            </w:pPr>
            <w:r>
              <w:rPr>
                <w:rFonts w:ascii="Arial" w:cs="Arial" w:eastAsia="Arial" w:hAnsi="Arial"/>
                <w:sz w:val="18"/>
                <w:szCs w:val="18"/>
                <w:color w:val="auto"/>
                <w:w w:val="84"/>
              </w:rPr>
              <w:t>2,562</w:t>
            </w:r>
          </w:p>
        </w:tc>
        <w:tc>
          <w:tcPr>
            <w:tcW w:w="48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0C0C0"/>
          </w:tcPr>
          <w:p>
            <w:pPr>
              <w:jc w:val="center"/>
              <w:ind w:right="312"/>
              <w:spacing w:after="0"/>
              <w:rPr>
                <w:sz w:val="20"/>
                <w:szCs w:val="20"/>
                <w:color w:val="auto"/>
              </w:rPr>
            </w:pPr>
            <w:r>
              <w:rPr>
                <w:rFonts w:ascii="Arial" w:cs="Arial" w:eastAsia="Arial" w:hAnsi="Arial"/>
                <w:sz w:val="18"/>
                <w:szCs w:val="18"/>
                <w:color w:val="auto"/>
                <w:w w:val="88"/>
              </w:rPr>
              <w:t>2,240</w:t>
            </w:r>
          </w:p>
        </w:tc>
        <w:tc>
          <w:tcPr>
            <w:tcW w:w="2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21"/>
                <w:szCs w:val="2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52,800</w:t>
            </w:r>
          </w:p>
        </w:tc>
        <w:tc>
          <w:tcPr>
            <w:tcW w:w="2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48,161</w:t>
            </w:r>
          </w:p>
        </w:tc>
        <w:tc>
          <w:tcPr>
            <w:tcW w:w="340" w:type="dxa"/>
            <w:vAlign w:val="bottom"/>
          </w:tcPr>
          <w:p>
            <w:pPr>
              <w:spacing w:after="0"/>
              <w:rPr>
                <w:sz w:val="20"/>
                <w:szCs w:val="20"/>
                <w:color w:val="auto"/>
              </w:rPr>
            </w:pPr>
          </w:p>
        </w:tc>
        <w:tc>
          <w:tcPr>
            <w:tcW w:w="800" w:type="dxa"/>
            <w:vAlign w:val="bottom"/>
          </w:tcPr>
          <w:p>
            <w:pPr>
              <w:jc w:val="center"/>
              <w:ind w:right="92"/>
              <w:spacing w:after="0"/>
              <w:rPr>
                <w:sz w:val="20"/>
                <w:szCs w:val="20"/>
                <w:color w:val="auto"/>
              </w:rPr>
            </w:pPr>
            <w:r>
              <w:rPr>
                <w:rFonts w:ascii="Arial" w:cs="Arial" w:eastAsia="Arial" w:hAnsi="Arial"/>
                <w:sz w:val="18"/>
                <w:szCs w:val="18"/>
                <w:color w:val="auto"/>
                <w:w w:val="84"/>
              </w:rPr>
              <w:t>3,034</w:t>
            </w:r>
          </w:p>
        </w:tc>
        <w:tc>
          <w:tcPr>
            <w:tcW w:w="480" w:type="dxa"/>
            <w:vAlign w:val="bottom"/>
          </w:tcPr>
          <w:p>
            <w:pPr>
              <w:spacing w:after="0"/>
              <w:rPr>
                <w:sz w:val="20"/>
                <w:szCs w:val="20"/>
                <w:color w:val="auto"/>
              </w:rPr>
            </w:pPr>
          </w:p>
        </w:tc>
        <w:tc>
          <w:tcPr>
            <w:tcW w:w="1040" w:type="dxa"/>
            <w:vAlign w:val="bottom"/>
          </w:tcPr>
          <w:p>
            <w:pPr>
              <w:jc w:val="center"/>
              <w:ind w:right="312"/>
              <w:spacing w:after="0"/>
              <w:rPr>
                <w:sz w:val="20"/>
                <w:szCs w:val="20"/>
                <w:color w:val="auto"/>
              </w:rPr>
            </w:pPr>
            <w:r>
              <w:rPr>
                <w:rFonts w:ascii="Arial" w:cs="Arial" w:eastAsia="Arial" w:hAnsi="Arial"/>
                <w:sz w:val="18"/>
                <w:szCs w:val="18"/>
                <w:color w:val="auto"/>
                <w:w w:val="88"/>
              </w:rPr>
              <w:t>1,605</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574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59,598</w:t>
            </w:r>
          </w:p>
        </w:tc>
        <w:tc>
          <w:tcPr>
            <w:tcW w:w="26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49,659</w:t>
            </w:r>
          </w:p>
        </w:tc>
        <w:tc>
          <w:tcPr>
            <w:tcW w:w="3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center"/>
              <w:ind w:right="92"/>
              <w:spacing w:after="0"/>
              <w:rPr>
                <w:sz w:val="20"/>
                <w:szCs w:val="20"/>
                <w:color w:val="auto"/>
              </w:rPr>
            </w:pPr>
            <w:r>
              <w:rPr>
                <w:rFonts w:ascii="Arial" w:cs="Arial" w:eastAsia="Arial" w:hAnsi="Arial"/>
                <w:sz w:val="18"/>
                <w:szCs w:val="18"/>
                <w:color w:val="auto"/>
                <w:w w:val="84"/>
              </w:rPr>
              <w:t>5,596</w:t>
            </w:r>
          </w:p>
        </w:tc>
        <w:tc>
          <w:tcPr>
            <w:tcW w:w="48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0C0C0"/>
          </w:tcPr>
          <w:p>
            <w:pPr>
              <w:jc w:val="center"/>
              <w:ind w:right="312"/>
              <w:spacing w:after="0"/>
              <w:rPr>
                <w:sz w:val="20"/>
                <w:szCs w:val="20"/>
                <w:color w:val="auto"/>
              </w:rPr>
            </w:pPr>
            <w:r>
              <w:rPr>
                <w:rFonts w:ascii="Arial" w:cs="Arial" w:eastAsia="Arial" w:hAnsi="Arial"/>
                <w:sz w:val="18"/>
                <w:szCs w:val="18"/>
                <w:color w:val="auto"/>
                <w:w w:val="88"/>
              </w:rPr>
              <w:t>3,845</w:t>
            </w:r>
          </w:p>
        </w:tc>
        <w:tc>
          <w:tcPr>
            <w:tcW w:w="2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issues shares out of treasury stock for these awards. During the nine months ended September 30, 2017, 23,135 restricted shares and 0 SARs were granted under the Omnibus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Restricted shares granted prior to April 16, 2013 are amortized to expense over a three-year vesting period. 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As of September 30, 2017, the total unrecognized compensation expense related to non-vested restricted shares was $1,781,000, and the related weighted-average period over which it is expected to be recognized is approximately 0.8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962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9620" w:type="dxa"/>
            <w:vAlign w:val="bottom"/>
          </w:tcPr>
          <w:p>
            <w:pPr>
              <w:spacing w:after="0"/>
              <w:rPr>
                <w:sz w:val="24"/>
                <w:szCs w:val="24"/>
                <w:color w:val="auto"/>
              </w:rPr>
            </w:pPr>
          </w:p>
        </w:tc>
        <w:tc>
          <w:tcPr>
            <w:tcW w:w="18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7"/>
              </w:rPr>
              <w:t>Nine Months Ended</w:t>
            </w:r>
          </w:p>
        </w:tc>
      </w:tr>
      <w:tr>
        <w:trPr>
          <w:trHeight w:val="266"/>
        </w:trPr>
        <w:tc>
          <w:tcPr>
            <w:tcW w:w="9620" w:type="dxa"/>
            <w:vAlign w:val="bottom"/>
          </w:tcPr>
          <w:p>
            <w:pPr>
              <w:spacing w:after="0"/>
              <w:rPr>
                <w:sz w:val="23"/>
                <w:szCs w:val="23"/>
                <w:color w:val="auto"/>
              </w:rPr>
            </w:pPr>
          </w:p>
        </w:tc>
        <w:tc>
          <w:tcPr>
            <w:tcW w:w="18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6"/>
              </w:rPr>
              <w:t>September 30, 2017</w:t>
            </w:r>
          </w:p>
        </w:tc>
      </w:tr>
      <w:tr>
        <w:trPr>
          <w:trHeight w:val="250"/>
        </w:trPr>
        <w:tc>
          <w:tcPr>
            <w:tcW w:w="9620" w:type="dxa"/>
            <w:vAlign w:val="bottom"/>
            <w:tcBorders>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Shares</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9620" w:type="dxa"/>
            <w:vAlign w:val="bottom"/>
            <w:shd w:val="clear" w:color="auto" w:fill="C0C0C0"/>
          </w:tcPr>
          <w:p>
            <w:pPr>
              <w:spacing w:after="0"/>
              <w:rPr>
                <w:sz w:val="20"/>
                <w:szCs w:val="20"/>
                <w:color w:val="auto"/>
              </w:rPr>
            </w:pPr>
            <w:r>
              <w:rPr>
                <w:rFonts w:ascii="Arial" w:cs="Arial" w:eastAsia="Arial" w:hAnsi="Arial"/>
                <w:sz w:val="18"/>
                <w:szCs w:val="18"/>
                <w:color w:val="auto"/>
              </w:rPr>
              <w:t>Balance at December 31, 2016</w:t>
            </w:r>
          </w:p>
        </w:tc>
        <w:tc>
          <w:tcPr>
            <w:tcW w:w="7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98"/>
              </w:rPr>
              <w:t>73,840</w:t>
            </w:r>
          </w:p>
        </w:tc>
        <w:tc>
          <w:tcPr>
            <w:tcW w:w="4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51.03</w:t>
            </w:r>
          </w:p>
        </w:tc>
        <w:tc>
          <w:tcPr>
            <w:tcW w:w="20" w:type="dxa"/>
            <w:vAlign w:val="bottom"/>
          </w:tcPr>
          <w:p>
            <w:pPr>
              <w:spacing w:after="0"/>
              <w:rPr>
                <w:sz w:val="21"/>
                <w:szCs w:val="21"/>
                <w:color w:val="auto"/>
              </w:rPr>
            </w:pPr>
          </w:p>
        </w:tc>
      </w:tr>
      <w:tr>
        <w:trPr>
          <w:trHeight w:val="235"/>
        </w:trPr>
        <w:tc>
          <w:tcPr>
            <w:tcW w:w="96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23,135</w:t>
            </w:r>
          </w:p>
        </w:tc>
        <w:tc>
          <w:tcPr>
            <w:tcW w:w="4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65.36</w:t>
            </w:r>
          </w:p>
        </w:tc>
      </w:tr>
      <w:tr>
        <w:trPr>
          <w:trHeight w:val="244"/>
        </w:trPr>
        <w:tc>
          <w:tcPr>
            <w:tcW w:w="96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89"/>
              </w:rPr>
              <w:t>(26,545)</w:t>
            </w:r>
          </w:p>
        </w:tc>
        <w:tc>
          <w:tcPr>
            <w:tcW w:w="44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52.34</w:t>
            </w:r>
          </w:p>
        </w:tc>
        <w:tc>
          <w:tcPr>
            <w:tcW w:w="20" w:type="dxa"/>
            <w:vAlign w:val="bottom"/>
          </w:tcPr>
          <w:p>
            <w:pPr>
              <w:spacing w:after="0"/>
              <w:rPr>
                <w:sz w:val="21"/>
                <w:szCs w:val="21"/>
                <w:color w:val="auto"/>
              </w:rPr>
            </w:pPr>
          </w:p>
        </w:tc>
      </w:tr>
      <w:tr>
        <w:trPr>
          <w:trHeight w:val="250"/>
        </w:trPr>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September 30, 2017</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70,430</w:t>
            </w: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55.24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2, 2017, the Company granted three-year performance based restricted stock (“PBRS”) awards which are contingent upon the achievement of pre-established financial goals over the period from January 1, 2017 through December 31, 2019. The PBRS awards cliff vest on the three-year anniversary of their grant date at levels ranging from 0% to 150% of the target opportunity based on the actual achievement of financial goals for the three-year performance period. The target number of PBRS shares granted was 23,038 with a grant date fair value of $65.12 per share. The 2017 expense related to this grant is currently estimated to be $458,000 and is based on the grant date fair value and the achievement of 100% of the target financial goals. The estimated expense for 2017 and each future period through the vesting date is subject to prospective adjustment based upon changes in the expected achievement of the financial goals.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SARs vest over a three-year period, with one-third of the shares vesting and becoming exercisable each year on the anniversary date of the grant, and they expire 10 years from the original grant date. As of September 30, 2017, all compensation expense has been recognized and all granted SARs are vested. Following is a summary of the activity of the Company’s SARs program for the nine-month period ended September 30,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9"/>
                <w:szCs w:val="19"/>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6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Remaining</w:t>
            </w:r>
          </w:p>
        </w:tc>
        <w:tc>
          <w:tcPr>
            <w:tcW w:w="22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Intrinsic</w:t>
            </w:r>
          </w:p>
        </w:tc>
      </w:tr>
      <w:tr>
        <w:trPr>
          <w:trHeight w:val="243"/>
        </w:trPr>
        <w:tc>
          <w:tcPr>
            <w:tcW w:w="6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right="152"/>
              <w:spacing w:after="0"/>
              <w:rPr>
                <w:sz w:val="20"/>
                <w:szCs w:val="20"/>
                <w:color w:val="auto"/>
              </w:rPr>
            </w:pPr>
            <w:r>
              <w:rPr>
                <w:rFonts w:ascii="Arial" w:cs="Arial" w:eastAsia="Arial" w:hAnsi="Arial"/>
                <w:sz w:val="18"/>
                <w:szCs w:val="18"/>
                <w:b w:val="1"/>
                <w:bCs w:val="1"/>
                <w:color w:val="auto"/>
                <w:w w:val="83"/>
              </w:rPr>
              <w:t>Exercise</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Contractual</w:t>
            </w:r>
          </w:p>
        </w:tc>
        <w:tc>
          <w:tcPr>
            <w:tcW w:w="22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Value</w:t>
            </w:r>
          </w:p>
        </w:tc>
      </w:tr>
      <w:tr>
        <w:trPr>
          <w:trHeight w:val="266"/>
        </w:trPr>
        <w:tc>
          <w:tcPr>
            <w:tcW w:w="69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6"/>
              </w:rPr>
              <w:t>Price</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Term Years</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i w:val="1"/>
                <w:iCs w:val="1"/>
                <w:color w:val="auto"/>
                <w:w w:val="87"/>
              </w:rPr>
              <w:t>(In thousands)</w:t>
            </w:r>
          </w:p>
        </w:tc>
      </w:tr>
      <w:tr>
        <w:trPr>
          <w:trHeight w:val="243"/>
        </w:trPr>
        <w:tc>
          <w:tcPr>
            <w:tcW w:w="694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December 31, 2016</w:t>
            </w: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237,468</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38.22</w:t>
            </w:r>
          </w:p>
        </w:tc>
        <w:tc>
          <w:tcPr>
            <w:tcW w:w="11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3,201</w:t>
            </w:r>
          </w:p>
        </w:tc>
      </w:tr>
      <w:tr>
        <w:trPr>
          <w:trHeight w:val="237"/>
        </w:trPr>
        <w:tc>
          <w:tcPr>
            <w:tcW w:w="6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Exercised</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(15,547)</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40.60</w:t>
            </w: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43"/>
        </w:trPr>
        <w:tc>
          <w:tcPr>
            <w:tcW w:w="694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September 30, 2017</w:t>
            </w:r>
          </w:p>
        </w:tc>
        <w:tc>
          <w:tcPr>
            <w:tcW w:w="10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221,921</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38.05</w:t>
            </w:r>
          </w:p>
        </w:tc>
        <w:tc>
          <w:tcPr>
            <w:tcW w:w="11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5,634</w:t>
            </w:r>
          </w:p>
        </w:tc>
      </w:tr>
      <w:tr>
        <w:trPr>
          <w:trHeight w:val="244"/>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September 30, 2017</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221,921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38.05</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00" w:type="dxa"/>
            <w:vAlign w:val="bottom"/>
          </w:tcPr>
          <w:p>
            <w:pPr>
              <w:spacing w:after="0"/>
              <w:rPr>
                <w:sz w:val="19"/>
                <w:szCs w:val="19"/>
                <w:color w:val="auto"/>
              </w:rPr>
            </w:pPr>
          </w:p>
        </w:tc>
        <w:tc>
          <w:tcPr>
            <w:tcW w:w="40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Estimated</w:t>
            </w:r>
          </w:p>
        </w:tc>
        <w:tc>
          <w:tcPr>
            <w:tcW w:w="30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Actual</w:t>
            </w:r>
          </w:p>
        </w:tc>
      </w:tr>
      <w:tr>
        <w:trPr>
          <w:trHeight w:val="266"/>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r>
      <w:tr>
        <w:trPr>
          <w:trHeight w:val="243"/>
        </w:trPr>
        <w:tc>
          <w:tcPr>
            <w:tcW w:w="630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3,733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3,559</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26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3,621</w:t>
            </w:r>
          </w:p>
        </w:tc>
        <w:tc>
          <w:tcPr>
            <w:tcW w:w="3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3,505</w:t>
            </w:r>
          </w:p>
        </w:tc>
      </w:tr>
      <w:tr>
        <w:trPr>
          <w:trHeight w:val="251"/>
        </w:trPr>
        <w:tc>
          <w:tcPr>
            <w:tcW w:w="630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3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(4,681)</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(4,734)</w:t>
            </w:r>
          </w:p>
        </w:tc>
      </w:tr>
      <w:tr>
        <w:trPr>
          <w:trHeight w:val="23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 and deferral</w:t>
            </w:r>
          </w:p>
        </w:tc>
        <w:tc>
          <w:tcPr>
            <w:tcW w:w="3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1,382</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1,259</w:t>
            </w:r>
          </w:p>
        </w:tc>
      </w:tr>
      <w:tr>
        <w:trPr>
          <w:trHeight w:val="250"/>
        </w:trPr>
        <w:tc>
          <w:tcPr>
            <w:tcW w:w="630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Net periodic pension cost</w:t>
            </w:r>
          </w:p>
        </w:tc>
        <w:tc>
          <w:tcPr>
            <w:tcW w:w="3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4,055</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3,589</w:t>
            </w: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Pension costs recorded to expense were $1,033,000 and $965,000 for the three-month periods ended September 30, 2017 and 2016, respectively, and totaled $3,070,000 and $2,724,000 for the nine-month periods ended September 30, 2017 and 2016, respectively. Pension costs increased in 2017 due to a decrease in the discount rate and expected return on plan assets assumptions and the use of the updated mortality tables. The Company made no contribution to the plan during the nine-month period ended September 30, 2017 and is evaluating the amount of additional contributions, if any, in the remainder of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both"/>
        <w:ind w:right="20"/>
        <w:spacing w:after="0" w:line="335" w:lineRule="auto"/>
        <w:rPr>
          <w:sz w:val="20"/>
          <w:szCs w:val="20"/>
          <w:color w:val="auto"/>
        </w:rPr>
      </w:pPr>
      <w:r>
        <w:rPr>
          <w:rFonts w:ascii="Arial" w:cs="Arial" w:eastAsia="Arial" w:hAnsi="Arial"/>
          <w:sz w:val="15"/>
          <w:szCs w:val="15"/>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2016 and an estimate for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20" w:type="dxa"/>
            <w:vAlign w:val="bottom"/>
          </w:tcPr>
          <w:p>
            <w:pPr>
              <w:spacing w:after="0"/>
              <w:rPr>
                <w:sz w:val="19"/>
                <w:szCs w:val="19"/>
                <w:color w:val="auto"/>
              </w:rPr>
            </w:pPr>
          </w:p>
        </w:tc>
        <w:tc>
          <w:tcPr>
            <w:tcW w:w="42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Actual</w:t>
            </w:r>
          </w:p>
        </w:tc>
      </w:tr>
      <w:tr>
        <w:trPr>
          <w:trHeight w:val="266"/>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2016</w:t>
            </w:r>
          </w:p>
        </w:tc>
      </w:tr>
      <w:tr>
        <w:trPr>
          <w:trHeight w:val="243"/>
        </w:trPr>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3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4"/>
        </w:trPr>
        <w:tc>
          <w:tcPr>
            <w:tcW w:w="6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w:t>
            </w:r>
          </w:p>
        </w:tc>
        <w:tc>
          <w:tcPr>
            <w:tcW w:w="33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323</w:t>
            </w:r>
          </w:p>
        </w:tc>
        <w:tc>
          <w:tcPr>
            <w:tcW w:w="24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295</w:t>
            </w:r>
          </w:p>
        </w:tc>
      </w:tr>
      <w:tr>
        <w:trPr>
          <w:trHeight w:val="250"/>
        </w:trPr>
        <w:tc>
          <w:tcPr>
            <w:tcW w:w="6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Net periodic pension cost</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Pension costs recorded to expense were $210,000 and $201,000 for the three-month periods ended September 30, 2017 and 2016, respectively, and were $628,000 and $604,000 for the nine-month periods ended September 30, 2017 and 2016,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September 30, 2017, the Company’s unrecognized tax benefits were approximately $1,840,000, of which $1,409,000 would, if recognized, affect the Company’s effective tax rate. As of December 31, 2016, the Company’s unrecognized tax benefits were approximately $1,623,000, of which $1,225,000 would, if recognized, affect the Company’s effective tax rate. During the next 12 months, the Company may realize a reduction of its unrecognized tax benefits of approximately $226,000 due to the lapse of federal and state statutes of limitations.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Company had $159,000 and $108,000 of gross interest accrued as of September 30, 2017 and December 31, 2016, respectively. There were no penalties for unrecognized tax benefits accrued at September 30, 2017 and December 31, 2016.</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is subject to income tax in the U.S. federal jurisdiction and numerous state jurisdictions. U.S. federal income tax returns for tax years 2014 through 2016 remain subject to examination by the Internal Revenue Service. In addition, the Company is subject to state tax examinations for the tax years 2013 through 2016.</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1, 2017, the Company adopted Accounting Standards Update (“ASU”) No. 2016-09 – Stock Compensation (Topic 718): Improvements to Employee Share-Based Payment Accounting. The adoption of this new accounting pronouncement resulted in a $0 and $278,000 reduction in income tax expense for the three-month and nine-month periods ending September 30,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w w:val="92"/>
              </w:rPr>
              <w:t>September 30, 2017</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8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Gross</w:t>
            </w:r>
          </w:p>
        </w:tc>
        <w:tc>
          <w:tcPr>
            <w:tcW w:w="280" w:type="dxa"/>
            <w:vAlign w:val="bottom"/>
          </w:tcPr>
          <w:p>
            <w:pPr>
              <w:spacing w:after="0"/>
              <w:rPr>
                <w:sz w:val="19"/>
                <w:szCs w:val="19"/>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8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6"/>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23"/>
                <w:szCs w:val="23"/>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Pr>
          <w:p>
            <w:pPr>
              <w:spacing w:after="0"/>
              <w:rPr>
                <w:sz w:val="23"/>
                <w:szCs w:val="23"/>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77"/>
              </w:rPr>
              <w:t>Losses</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38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3380" w:type="dxa"/>
            <w:vAlign w:val="bottom"/>
            <w:tcBorders>
              <w:top w:val="single" w:sz="8" w:color="auto"/>
            </w:tcBorders>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406,833</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11,086</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924</w:t>
            </w:r>
          </w:p>
        </w:tc>
        <w:tc>
          <w:tcPr>
            <w:tcW w:w="3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416,995</w:t>
            </w:r>
          </w:p>
        </w:tc>
        <w:tc>
          <w:tcPr>
            <w:tcW w:w="20" w:type="dxa"/>
            <w:vAlign w:val="bottom"/>
          </w:tcPr>
          <w:p>
            <w:pPr>
              <w:spacing w:after="0"/>
              <w:rPr>
                <w:sz w:val="21"/>
                <w:szCs w:val="21"/>
                <w:color w:val="auto"/>
              </w:rPr>
            </w:pPr>
          </w:p>
        </w:tc>
      </w:tr>
      <w:tr>
        <w:trPr>
          <w:trHeight w:val="235"/>
        </w:trPr>
        <w:tc>
          <w:tcPr>
            <w:tcW w:w="3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32,241</w:t>
            </w:r>
          </w:p>
        </w:tc>
        <w:tc>
          <w:tcPr>
            <w:tcW w:w="3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31,832</w:t>
            </w:r>
          </w:p>
        </w:tc>
      </w:tr>
      <w:tr>
        <w:trPr>
          <w:trHeight w:val="244"/>
        </w:trPr>
        <w:tc>
          <w:tcPr>
            <w:tcW w:w="38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320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8,241</w:t>
            </w:r>
          </w:p>
        </w:tc>
        <w:tc>
          <w:tcPr>
            <w:tcW w:w="3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8,241</w:t>
            </w:r>
          </w:p>
        </w:tc>
        <w:tc>
          <w:tcPr>
            <w:tcW w:w="20" w:type="dxa"/>
            <w:vAlign w:val="bottom"/>
          </w:tcPr>
          <w:p>
            <w:pPr>
              <w:spacing w:after="0"/>
              <w:rPr>
                <w:sz w:val="21"/>
                <w:szCs w:val="21"/>
                <w:color w:val="auto"/>
              </w:rPr>
            </w:pPr>
          </w:p>
        </w:tc>
      </w:tr>
      <w:tr>
        <w:trPr>
          <w:trHeight w:val="250"/>
        </w:trPr>
        <w:tc>
          <w:tcPr>
            <w:tcW w:w="3880" w:type="dxa"/>
            <w:vAlign w:val="bottom"/>
          </w:tcPr>
          <w:p>
            <w:pPr>
              <w:ind w:left="280"/>
              <w:spacing w:after="0"/>
              <w:rPr>
                <w:sz w:val="20"/>
                <w:szCs w:val="20"/>
                <w:color w:val="auto"/>
              </w:rPr>
            </w:pPr>
            <w:r>
              <w:rPr>
                <w:rFonts w:ascii="Arial" w:cs="Arial" w:eastAsia="Arial" w:hAnsi="Arial"/>
                <w:sz w:val="18"/>
                <w:szCs w:val="18"/>
                <w:color w:val="auto"/>
              </w:rPr>
              <w:t>Total</w:t>
            </w:r>
          </w:p>
        </w:tc>
        <w:tc>
          <w:tcPr>
            <w:tcW w:w="3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447,315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11,086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1,333</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457,068</w:t>
            </w:r>
          </w:p>
        </w:tc>
      </w:tr>
      <w:tr>
        <w:trPr>
          <w:trHeight w:val="430"/>
        </w:trPr>
        <w:tc>
          <w:tcPr>
            <w:tcW w:w="388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tcPr>
          <w:p>
            <w:pPr>
              <w:jc w:val="right"/>
              <w:ind w:right="1132"/>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8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1"/>
        </w:trPr>
        <w:tc>
          <w:tcPr>
            <w:tcW w:w="46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w w:val="94"/>
              </w:rPr>
              <w:t>December 31, 2016</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28"/>
        </w:trPr>
        <w:tc>
          <w:tcPr>
            <w:tcW w:w="4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Gross</w:t>
            </w:r>
          </w:p>
        </w:tc>
        <w:tc>
          <w:tcPr>
            <w:tcW w:w="280" w:type="dxa"/>
            <w:vAlign w:val="bottom"/>
          </w:tcPr>
          <w:p>
            <w:pPr>
              <w:spacing w:after="0"/>
              <w:rPr>
                <w:sz w:val="19"/>
                <w:szCs w:val="19"/>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2"/>
        </w:trPr>
        <w:tc>
          <w:tcPr>
            <w:tcW w:w="46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6"/>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77"/>
              </w:rPr>
              <w:t>Losses</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6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368,223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5,239</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3,328</w:t>
            </w:r>
          </w:p>
        </w:tc>
        <w:tc>
          <w:tcPr>
            <w:tcW w:w="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370,134</w:t>
            </w: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13,075</w:t>
            </w:r>
          </w:p>
        </w:tc>
        <w:tc>
          <w:tcPr>
            <w:tcW w:w="3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12,672</w:t>
            </w:r>
          </w:p>
        </w:tc>
      </w:tr>
      <w:tr>
        <w:trPr>
          <w:trHeight w:val="244"/>
        </w:trPr>
        <w:tc>
          <w:tcPr>
            <w:tcW w:w="4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44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7,746</w:t>
            </w:r>
          </w:p>
        </w:tc>
        <w:tc>
          <w:tcPr>
            <w:tcW w:w="3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7,746</w:t>
            </w:r>
          </w:p>
        </w:tc>
      </w:tr>
      <w:tr>
        <w:trPr>
          <w:trHeight w:val="250"/>
        </w:trPr>
        <w:tc>
          <w:tcPr>
            <w:tcW w:w="46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389,044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3,731</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390,552</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80" w:type="dxa"/>
            <w:vAlign w:val="bottom"/>
          </w:tcPr>
          <w:p>
            <w:pPr>
              <w:spacing w:after="0"/>
              <w:rPr>
                <w:sz w:val="20"/>
                <w:szCs w:val="20"/>
                <w:color w:val="auto"/>
              </w:rPr>
            </w:pPr>
            <w:r>
              <w:rPr>
                <w:rFonts w:ascii="Arial" w:cs="Arial" w:eastAsia="Arial" w:hAnsi="Arial"/>
                <w:sz w:val="18"/>
                <w:szCs w:val="18"/>
                <w:color w:val="auto"/>
                <w:w w:val="93"/>
              </w:rPr>
              <w:t>The fair values of securities with unrealized losses are as follows: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b w:val="1"/>
                <w:bCs w:val="1"/>
                <w:color w:val="auto"/>
                <w:w w:val="90"/>
              </w:rPr>
              <w:t>September 30, 2017</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w w:val="88"/>
              </w:rPr>
              <w:t>Less than 12 months</w:t>
            </w: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1"/>
              </w:rPr>
              <w:t>12 months or more</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Unrealized</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65"/>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23"/>
                <w:szCs w:val="23"/>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w w:val="83"/>
              </w:rPr>
              <w:t>Losses</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3"/>
                <w:szCs w:val="23"/>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r>
      <w:tr>
        <w:trPr>
          <w:trHeight w:val="243"/>
        </w:trPr>
        <w:tc>
          <w:tcPr>
            <w:tcW w:w="48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42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33,567</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336</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16,288</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588</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49,855</w:t>
            </w:r>
          </w:p>
        </w:tc>
        <w:tc>
          <w:tcPr>
            <w:tcW w:w="240" w:type="dxa"/>
            <w:vAlign w:val="bottom"/>
            <w:tcBorders>
              <w:top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1"/>
                <w:szCs w:val="21"/>
                <w:color w:val="auto"/>
              </w:rPr>
            </w:pPr>
          </w:p>
        </w:tc>
      </w:t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29,162</w:t>
            </w: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2,670</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31,832</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0"/>
                <w:szCs w:val="20"/>
                <w:color w:val="auto"/>
              </w:rPr>
            </w:pPr>
          </w:p>
        </w:tc>
      </w:tr>
      <w:tr>
        <w:trPr>
          <w:trHeight w:val="244"/>
        </w:trPr>
        <w:tc>
          <w:tcPr>
            <w:tcW w:w="48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62,729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18,958</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659</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81,687</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21"/>
                <w:szCs w:val="21"/>
                <w:color w:val="auto"/>
              </w:rPr>
            </w:pPr>
          </w:p>
        </w:tc>
      </w:tr>
      <w:tr>
        <w:trPr>
          <w:trHeight w:val="493"/>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1"/>
              </w:rPr>
              <w:t>December 31, 2016</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w w:val="88"/>
              </w:rPr>
              <w:t>Less than 12 months</w:t>
            </w: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1"/>
              </w:rPr>
              <w:t>12 months or more</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Unrealized</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65"/>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23"/>
                <w:szCs w:val="23"/>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w w:val="83"/>
              </w:rPr>
              <w:t>Losses</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3"/>
                <w:szCs w:val="23"/>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r>
      <w:tr>
        <w:trPr>
          <w:trHeight w:val="243"/>
        </w:trPr>
        <w:tc>
          <w:tcPr>
            <w:tcW w:w="48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42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140,384</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3,328</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140,384</w:t>
            </w:r>
          </w:p>
        </w:tc>
        <w:tc>
          <w:tcPr>
            <w:tcW w:w="240" w:type="dxa"/>
            <w:vAlign w:val="bottom"/>
            <w:tcBorders>
              <w:top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3,328</w:t>
            </w:r>
          </w:p>
        </w:tc>
        <w:tc>
          <w:tcPr>
            <w:tcW w:w="20" w:type="dxa"/>
            <w:vAlign w:val="bottom"/>
          </w:tcPr>
          <w:p>
            <w:pPr>
              <w:spacing w:after="0"/>
              <w:rPr>
                <w:sz w:val="21"/>
                <w:szCs w:val="21"/>
                <w:color w:val="auto"/>
              </w:rPr>
            </w:pPr>
          </w:p>
        </w:tc>
      </w:t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12,672</w:t>
            </w: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12,672</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0"/>
                <w:szCs w:val="20"/>
                <w:color w:val="auto"/>
              </w:rPr>
            </w:pPr>
          </w:p>
        </w:tc>
      </w:tr>
      <w:tr>
        <w:trPr>
          <w:trHeight w:val="251"/>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4"/>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153,056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153,056</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0" w:type="dxa"/>
            <w:vAlign w:val="bottom"/>
            <w:tcBorders>
              <w:bottom w:val="single" w:sz="8" w:color="auto"/>
            </w:tcBorders>
          </w:tcPr>
          <w:p>
            <w:pPr>
              <w:spacing w:after="0"/>
              <w:rPr>
                <w:sz w:val="21"/>
                <w:szCs w:val="2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There were 44 securities, or 12% of the total (13 greater than 12 months), in an unrealized loss position as of September 30, 2017. There were 108 securities, or 31% of the total (none greater than 12 months), in an unrealized loss position as of December 31, 2016.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6"/>
              </w:rPr>
              <w:t>September 30, 2017</w:t>
            </w:r>
          </w:p>
        </w:tc>
      </w:tr>
      <w:tr>
        <w:trPr>
          <w:trHeight w:val="250"/>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20" w:type="dxa"/>
            <w:vAlign w:val="bottom"/>
            <w:tcBorders>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Amortized Cost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576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580" w:type="dxa"/>
            <w:vAlign w:val="bottom"/>
            <w:gridSpan w:val="2"/>
            <w:shd w:val="clear" w:color="auto" w:fill="C0C0C0"/>
          </w:tcPr>
          <w:p>
            <w:pPr>
              <w:ind w:left="3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22,366</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22,562</w:t>
            </w:r>
          </w:p>
        </w:tc>
        <w:tc>
          <w:tcPr>
            <w:tcW w:w="20" w:type="dxa"/>
            <w:vAlign w:val="bottom"/>
          </w:tcPr>
          <w:p>
            <w:pPr>
              <w:spacing w:after="0"/>
              <w:rPr>
                <w:sz w:val="21"/>
                <w:szCs w:val="21"/>
                <w:color w:val="auto"/>
              </w:rPr>
            </w:pPr>
          </w:p>
        </w:tc>
      </w:tr>
      <w:tr>
        <w:trPr>
          <w:trHeight w:val="235"/>
        </w:trPr>
        <w:tc>
          <w:tcPr>
            <w:tcW w:w="576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56,315</w:t>
            </w:r>
          </w:p>
        </w:tc>
        <w:tc>
          <w:tcPr>
            <w:tcW w:w="3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57,476</w:t>
            </w:r>
          </w:p>
        </w:tc>
      </w:tr>
      <w:tr>
        <w:trPr>
          <w:trHeight w:val="251"/>
        </w:trPr>
        <w:tc>
          <w:tcPr>
            <w:tcW w:w="576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3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237,366</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245,720</w:t>
            </w:r>
          </w:p>
        </w:tc>
        <w:tc>
          <w:tcPr>
            <w:tcW w:w="20" w:type="dxa"/>
            <w:vAlign w:val="bottom"/>
          </w:tcPr>
          <w:p>
            <w:pPr>
              <w:spacing w:after="0"/>
              <w:rPr>
                <w:sz w:val="21"/>
                <w:szCs w:val="2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Due after 10 years</w:t>
            </w: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131,268</w:t>
            </w:r>
          </w:p>
        </w:tc>
        <w:tc>
          <w:tcPr>
            <w:tcW w:w="3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131,310</w:t>
            </w:r>
          </w:p>
        </w:tc>
      </w:tr>
      <w:tr>
        <w:trPr>
          <w:trHeight w:val="250"/>
        </w:trPr>
        <w:tc>
          <w:tcPr>
            <w:tcW w:w="576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3580" w:type="dxa"/>
            <w:vAlign w:val="bottom"/>
            <w:tcBorders>
              <w:top w:val="single" w:sz="8" w:color="auto"/>
              <w:bottom w:val="single" w:sz="8" w:color="auto"/>
            </w:tcBorders>
            <w:gridSpan w:val="2"/>
            <w:shd w:val="clear" w:color="auto" w:fill="C0C0C0"/>
          </w:tcPr>
          <w:p>
            <w:pPr>
              <w:ind w:left="33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447,315</w:t>
            </w:r>
          </w:p>
        </w:tc>
        <w:tc>
          <w:tcPr>
            <w:tcW w:w="3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457,068</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There were no sales of investment securities classified as available for sale for the three months ended September 30, 2017 or 2016. Proceeds from sales of investment securities classified as available for sale were $0 and $21,491,000 for the nine months ended September 30, 2017 and 2016, respectively. There were no gross realized gains for the three months ended September 30, 2017 or 2016. Gross gains realized were $0 and $387,000 for the nine months ended September 30, 2017 and 2016, respectively. There was one security totaling $3,750,000 pledged to secure public deposits and for other purposes at September 30, 2017.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Note 12 – Fair Value of Financial Instruments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2"/>
        </w:trPr>
        <w:tc>
          <w:tcPr>
            <w:tcW w:w="7800" w:type="dxa"/>
            <w:vAlign w:val="bottom"/>
            <w:gridSpan w:val="4"/>
          </w:tcPr>
          <w:p>
            <w:pPr>
              <w:spacing w:after="0"/>
              <w:rPr>
                <w:sz w:val="20"/>
                <w:szCs w:val="20"/>
                <w:color w:val="auto"/>
              </w:rPr>
            </w:pPr>
            <w:r>
              <w:rPr>
                <w:rFonts w:ascii="Arial" w:cs="Arial" w:eastAsia="Arial" w:hAnsi="Arial"/>
                <w:sz w:val="18"/>
                <w:szCs w:val="18"/>
                <w:color w:val="auto"/>
                <w:w w:val="94"/>
              </w:rPr>
              <w:t>Following is a summary of the carrying amounts and fair values of the Company’s financial instruments: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8"/>
        </w:trPr>
        <w:tc>
          <w:tcPr>
            <w:tcW w:w="4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tcPr>
          <w:p>
            <w:pPr>
              <w:ind w:left="280"/>
              <w:spacing w:after="0"/>
              <w:rPr>
                <w:sz w:val="20"/>
                <w:szCs w:val="20"/>
                <w:color w:val="auto"/>
              </w:rPr>
            </w:pPr>
            <w:r>
              <w:rPr>
                <w:rFonts w:ascii="Arial" w:cs="Arial" w:eastAsia="Arial" w:hAnsi="Arial"/>
                <w:sz w:val="18"/>
                <w:szCs w:val="18"/>
                <w:b w:val="1"/>
                <w:bCs w:val="1"/>
                <w:color w:val="auto"/>
              </w:rPr>
              <w:t>September 30, 2017</w:t>
            </w:r>
          </w:p>
        </w:tc>
        <w:tc>
          <w:tcPr>
            <w:tcW w:w="120" w:type="dxa"/>
            <w:vAlign w:val="bottom"/>
          </w:tcPr>
          <w:p>
            <w:pPr>
              <w:spacing w:after="0"/>
              <w:rPr>
                <w:sz w:val="24"/>
                <w:szCs w:val="24"/>
                <w:color w:val="auto"/>
              </w:rPr>
            </w:pPr>
          </w:p>
        </w:tc>
        <w:tc>
          <w:tcPr>
            <w:tcW w:w="214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December 31, 2016</w:t>
            </w:r>
          </w:p>
        </w:tc>
      </w:tr>
      <w:tr>
        <w:trPr>
          <w:trHeight w:val="228"/>
        </w:trPr>
        <w:tc>
          <w:tcPr>
            <w:tcW w:w="4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6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r>
      <w:tr>
        <w:trPr>
          <w:trHeight w:val="243"/>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9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242,098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242,098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266,743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266,743</w:t>
            </w:r>
          </w:p>
        </w:tc>
      </w:tr>
      <w:tr>
        <w:trPr>
          <w:trHeight w:val="251"/>
        </w:trPr>
        <w:tc>
          <w:tcPr>
            <w:tcW w:w="49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457,068</w:t>
            </w:r>
          </w:p>
        </w:tc>
        <w:tc>
          <w:tcPr>
            <w:tcW w:w="220" w:type="dxa"/>
            <w:vAlign w:val="bottom"/>
            <w:shd w:val="clear" w:color="auto" w:fill="C0C0C0"/>
          </w:tcPr>
          <w:p>
            <w:pPr>
              <w:spacing w:after="0"/>
              <w:rPr>
                <w:sz w:val="21"/>
                <w:szCs w:val="21"/>
                <w:color w:val="auto"/>
              </w:rPr>
            </w:pPr>
          </w:p>
        </w:tc>
        <w:tc>
          <w:tcPr>
            <w:tcW w:w="11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457,068</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390,552</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390,552</w:t>
            </w:r>
          </w:p>
        </w:tc>
      </w:tr>
      <w:tr>
        <w:trPr>
          <w:trHeight w:val="235"/>
        </w:trPr>
        <w:tc>
          <w:tcPr>
            <w:tcW w:w="496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647,888</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650,593</w:t>
            </w: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654,691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652,028</w:t>
            </w:r>
          </w:p>
        </w:tc>
      </w:tr>
      <w:tr>
        <w:trPr>
          <w:trHeight w:val="244"/>
        </w:trPr>
        <w:tc>
          <w:tcPr>
            <w:tcW w:w="49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Accrued interest receivable</w:t>
            </w:r>
          </w:p>
        </w:tc>
        <w:tc>
          <w:tcPr>
            <w:tcW w:w="17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6,267</w:t>
            </w:r>
          </w:p>
        </w:tc>
        <w:tc>
          <w:tcPr>
            <w:tcW w:w="220" w:type="dxa"/>
            <w:vAlign w:val="bottom"/>
            <w:tcBorders>
              <w:bottom w:val="single" w:sz="8" w:color="auto"/>
            </w:tcBorders>
            <w:shd w:val="clear" w:color="auto" w:fill="C0C0C0"/>
          </w:tcPr>
          <w:p>
            <w:pPr>
              <w:spacing w:after="0"/>
              <w:rPr>
                <w:sz w:val="21"/>
                <w:szCs w:val="21"/>
                <w:color w:val="auto"/>
              </w:rPr>
            </w:pPr>
          </w:p>
        </w:tc>
        <w:tc>
          <w:tcPr>
            <w:tcW w:w="1140" w:type="dxa"/>
            <w:vAlign w:val="bottom"/>
            <w:tcBorders>
              <w:bottom w:val="single" w:sz="8" w:color="auto"/>
            </w:tcBorders>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6,267</w:t>
            </w: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6,543</w:t>
            </w: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6,543</w:t>
            </w:r>
          </w:p>
        </w:tc>
      </w:tr>
      <w:tr>
        <w:trPr>
          <w:trHeight w:val="237"/>
        </w:trPr>
        <w:tc>
          <w:tcPr>
            <w:tcW w:w="49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1,353,321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1,356,026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1,318,529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1,315,866</w:t>
            </w:r>
          </w:p>
        </w:tc>
      </w:tr>
      <w:tr>
        <w:trPr>
          <w:trHeight w:val="243"/>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960" w:type="dxa"/>
            <w:vAlign w:val="bottom"/>
          </w:tcPr>
          <w:p>
            <w:pPr>
              <w:ind w:left="280"/>
              <w:spacing w:after="0"/>
              <w:rPr>
                <w:sz w:val="20"/>
                <w:szCs w:val="20"/>
                <w:color w:val="auto"/>
              </w:rPr>
            </w:pPr>
            <w:r>
              <w:rPr>
                <w:rFonts w:ascii="Arial" w:cs="Arial" w:eastAsia="Arial" w:hAnsi="Arial"/>
                <w:sz w:val="18"/>
                <w:szCs w:val="18"/>
                <w:color w:val="auto"/>
              </w:rPr>
              <w:t>Deposits</w:t>
            </w: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609,230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609,199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621,961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622,173</w:t>
            </w:r>
          </w:p>
        </w:tc>
      </w:tr>
      <w:tr>
        <w:trPr>
          <w:trHeight w:val="251"/>
        </w:trPr>
        <w:tc>
          <w:tcPr>
            <w:tcW w:w="49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and drafts payable</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687,233</w:t>
            </w:r>
          </w:p>
        </w:tc>
        <w:tc>
          <w:tcPr>
            <w:tcW w:w="220" w:type="dxa"/>
            <w:vAlign w:val="bottom"/>
            <w:shd w:val="clear" w:color="auto" w:fill="C0C0C0"/>
          </w:tcPr>
          <w:p>
            <w:pPr>
              <w:spacing w:after="0"/>
              <w:rPr>
                <w:sz w:val="21"/>
                <w:szCs w:val="21"/>
                <w:color w:val="auto"/>
              </w:rPr>
            </w:pPr>
          </w:p>
        </w:tc>
        <w:tc>
          <w:tcPr>
            <w:tcW w:w="11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687,233</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642,287</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642,287</w:t>
            </w:r>
          </w:p>
        </w:tc>
      </w:tr>
      <w:tr>
        <w:trPr>
          <w:trHeight w:val="237"/>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Accrued interest payable</w:t>
            </w:r>
          </w:p>
        </w:tc>
        <w:tc>
          <w:tcPr>
            <w:tcW w:w="1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50"/>
        </w:trPr>
        <w:tc>
          <w:tcPr>
            <w:tcW w:w="4960" w:type="dxa"/>
            <w:vAlign w:val="bottom"/>
            <w:tcBorders>
              <w:bottom w:val="single" w:sz="8" w:color="auto"/>
            </w:tcBorders>
            <w:shd w:val="clear" w:color="auto" w:fill="C0C0C0"/>
          </w:tcPr>
          <w:p>
            <w:pPr>
              <w:ind w:left="8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1,296,510</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1,296,479</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1,264,294</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1,264,506</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Investment in Securities – </w:t>
      </w:r>
      <w:r>
        <w:rPr>
          <w:rFonts w:ascii="Arial" w:cs="Arial" w:eastAsia="Arial" w:hAnsi="Arial"/>
          <w:sz w:val="18"/>
          <w:szCs w:val="18"/>
          <w:color w:val="auto"/>
        </w:rPr>
        <w:t>The fair value is measured on a recurring basis using Level 2 valuations. Refer to Note 11, “Investment in Securities,” for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and unrealized gains and losses by investment type.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Loans –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fair value of the collateral which is based upon an observable market price or a current appraised value and therefore, the fair value is a nonrecurring Level 3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Receivable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Deposits – </w:t>
      </w:r>
      <w:r>
        <w:rPr>
          <w:rFonts w:ascii="Arial" w:cs="Arial" w:eastAsia="Arial" w:hAnsi="Arial"/>
          <w:sz w:val="16"/>
          <w:szCs w:val="16"/>
          <w:color w:val="auto"/>
        </w:rPr>
        <w:t>The fair value of demand deposits, savings deposits and certain money market deposits is the amount payable on demand at the reporting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Accounts and Drafts Payable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 </w:t>
      </w:r>
      <w:r>
        <w:rPr>
          <w:rFonts w:ascii="Arial" w:cs="Arial" w:eastAsia="Arial" w:hAnsi="Arial"/>
          <w:sz w:val="18"/>
          <w:szCs w:val="18"/>
          <w:color w:val="auto"/>
        </w:rPr>
        <w:t>The carrying amount approximates fair value.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transfers between Levels 1 and 2 of the fair value hierarchy for the nine months ended September 30, 2017 and 2016. No financial instruments are measured using Level 3 inputs for the nine months ended September 30, 2017 and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13 – Subsequent Events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24, 2017, the Company’s board of directors declared a 10% common stock dividend payable on December 15, 2017 to shareholders of record on December 5, 2017. Shareholders will receive one additional share of Cass common stock for each 10 shares of common stock owned. No fractional shares will be issued. Shareholders will receive cash for any fractional shares owned based on the share price reported by the Nasdaq Stock Market at the close of trading on December 5, 2017.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on October 24, 2017, the Company’s board of directors declared a fourth quarter cash dividend of $0.24 per share payable on December 15, 2017 to shareholders of record on December 5, 2017. The cash dividend will apply to all shares of common stock held after the 10% common stock dividend is completed.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and Breda, Netherlands. The Company’s services include freight invoice rating, payment processing, auditing, and the generation of accounting and transportation information. Cass also processes and pays energy invoices, which include electricity and gas as well as environmental and telecommunications expense and is a provider of telecom expense management solutions. Cass extracts, stores, and presents information from transportation, energy, telecommunication and environmental invoices, assisting its customers’ transportation, energy, environmental and information technology managers in making decisions that will enable them to improve operating performance. The Company receives data from multiple sources, electronic and otherwise, and processes the data to accomplish the specific operating requirements of its customers. It then provides the data in a central repository for access and archiving. The data is finally transformed into information through the Company’s databases that allow client interaction as required and provide Internet-based tools for analytical processing. The Company also, through Cass Commercial Bank, its St. Louis, Missouri-based bank subsidiary provides banking services in the St. Louis metropolitan, Orange County, California, Colorado Springs, Colorado, and other selected cities in the United States. In addition to supporting the Company’s payment operations, the Bank provides banking services to its target markets, which include privately-owned businesses and churches and church-related ministries.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2016 Annual Report on Form 10-K, a decline in the general level of interest rates can have a negative impact on net interest income and conversely, a rise in the general level of interest rates can have a positive impact on net interest income.</w:t>
      </w:r>
    </w:p>
    <w:p>
      <w:pPr>
        <w:spacing w:after="0" w:line="3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8" w:name="page19"/>
    <w:bookmarkEnd w:id="18"/>
    <w:p>
      <w:pPr>
        <w:jc w:val="both"/>
        <w:ind w:right="20" w:firstLine="41"/>
        <w:spacing w:after="0" w:line="254" w:lineRule="auto"/>
        <w:rPr>
          <w:sz w:val="20"/>
          <w:szCs w:val="20"/>
          <w:color w:val="auto"/>
        </w:rPr>
      </w:pPr>
      <w:r>
        <w:rPr>
          <w:rFonts w:ascii="Arial" w:cs="Arial" w:eastAsia="Arial" w:hAnsi="Arial"/>
          <w:sz w:val="18"/>
          <w:szCs w:val="18"/>
          <w:i w:val="1"/>
          <w:iCs w:val="1"/>
          <w:color w:val="auto"/>
        </w:rPr>
        <w:t>Allowance for Loan Losses</w:t>
      </w:r>
      <w:r>
        <w:rPr>
          <w:rFonts w:ascii="Arial" w:cs="Arial" w:eastAsia="Arial" w:hAnsi="Arial"/>
          <w:sz w:val="18"/>
          <w:szCs w:val="18"/>
          <w:color w:val="auto"/>
        </w:rPr>
        <w:t>. The Company performs periodic and systematic detailed reviews of its loan portfolio to assess overall collectability. The level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w:t>
      </w:r>
    </w:p>
    <w:p>
      <w:pPr>
        <w:spacing w:after="0" w:line="19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assets for the future tax consequences of events that have been recognized in an entity’s financial statements or tax returns. Judgment is required in addressing the future tax consequences of events that have been recognized in the Company’s financial statements or tax returns such as the realization of deferred tax assets or changes in tax laws or interpretations thereof. In addition, the Company is subject to the continuous examination of its income tax returns by the Internal Revenue Service and other taxing authorities. In accordance with FASB ASC 740, “Income Taxes,” the Company has unrecognized tax benefits related to tax positions taken or expected to be taken. See Note 10 to the unaudited consolidated financial statements contained herein.</w:t>
      </w:r>
    </w:p>
    <w:p>
      <w:pPr>
        <w:spacing w:after="0" w:line="174"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i w:val="1"/>
          <w:iCs w:val="1"/>
          <w:color w:val="auto"/>
        </w:rPr>
        <w:t xml:space="preserve">Pension Plans. </w:t>
      </w:r>
      <w:r>
        <w:rPr>
          <w:rFonts w:ascii="Arial" w:cs="Arial" w:eastAsia="Arial" w:hAnsi="Arial"/>
          <w:sz w:val="16"/>
          <w:szCs w:val="16"/>
          <w:color w:val="auto"/>
        </w:rPr>
        <w:t>The amounts recognized in the unaudited consolidated financial statements related to pension plans are determined from actuarial valuations.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Inherent in these valuations are assumptions, including expected return on plan assets, discount rates at which the liabilities could be settled at December 31, 2016, rate of increase in future compensation levels and mortality rates. These assumptions are updated annually and are disclosed in Item 8, Note 10 to the consolidated financial statements filed with the Company’s Annual Report on Form 10-K for the year ended December 31, 2016. Pursuant to FASB ASC 715, “Compensation – Retirement Benefits,” the Company has recognized the funded status of its defined benefit postretirement plan in its balance sheet and has recognized changes in that funded status through comprehensive income. The funded status is measured as the difference between the fair value of the plan assets and the projected benefit obligation as of the date of its fiscal year-end.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following paragraphs more fully discuss the results of operations and changes in financial condition for the three-month period ended September 30, 2017 (“Third Quarter of 2017”) compared to the three-month period ended September 30, 2016 (“Third Quarter of 2016”) and the nine-month period ended September 30, 2017 (“Nine Months Ended 2017”) compared to the nine-month period ended September 30, 2016 (“Nine Months Ended 2016”). The following discussion and analysis should be read in conjunction with the unaudited consolidated financial statements and related notes and with the statistical information and financial data appearing in this report, as well as in the Company’s 2016 Annual Report on Form 10-K. Results of operations for the Third Quarter of 2017 are not necessarily indicative of the results to be attained for any other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The following table summarizes the Company’s operating results</w:t>
            </w: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5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 of</w:t>
            </w: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65"/>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14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94"/>
              </w:rPr>
              <w:t>2017</w:t>
            </w:r>
          </w:p>
        </w:tc>
        <w:tc>
          <w:tcPr>
            <w:tcW w:w="240" w:type="dxa"/>
            <w:vAlign w:val="bottom"/>
          </w:tcPr>
          <w:p>
            <w:pPr>
              <w:spacing w:after="0"/>
              <w:rPr>
                <w:sz w:val="23"/>
                <w:szCs w:val="23"/>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w w:val="94"/>
              </w:rPr>
              <w:t>2016</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23"/>
                <w:szCs w:val="23"/>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3"/>
                <w:szCs w:val="23"/>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Change</w:t>
            </w:r>
          </w:p>
        </w:tc>
      </w:tr>
      <w:tr>
        <w:trPr>
          <w:trHeight w:val="243"/>
        </w:trPr>
        <w:tc>
          <w:tcPr>
            <w:tcW w:w="55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6,863</w:t>
            </w:r>
          </w:p>
        </w:tc>
        <w:tc>
          <w:tcPr>
            <w:tcW w:w="2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6,222</w:t>
            </w:r>
          </w:p>
        </w:tc>
        <w:tc>
          <w:tcPr>
            <w:tcW w:w="880" w:type="dxa"/>
            <w:vAlign w:val="bottom"/>
            <w:tcBorders>
              <w:top w:val="single" w:sz="8" w:color="auto"/>
            </w:tcBorders>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auto"/>
            </w:tcBorders>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19,683</w:t>
            </w:r>
          </w:p>
        </w:tc>
        <w:tc>
          <w:tcPr>
            <w:tcW w:w="3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17,924</w:t>
            </w:r>
          </w:p>
        </w:tc>
        <w:tc>
          <w:tcPr>
            <w:tcW w:w="6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1"/>
                <w:szCs w:val="21"/>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1.74</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1.58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251"/>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assets</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1.59%</w:t>
            </w: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1.60%</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11.84%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32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11.56%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0"/>
        </w:trPr>
        <w:tc>
          <w:tcPr>
            <w:tcW w:w="55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Third Quarter of</w:t>
            </w:r>
          </w:p>
        </w:tc>
        <w:tc>
          <w:tcPr>
            <w:tcW w:w="7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Nine Months Ended</w:t>
            </w:r>
          </w:p>
        </w:tc>
        <w:tc>
          <w:tcPr>
            <w:tcW w:w="720" w:type="dxa"/>
            <w:vAlign w:val="bottom"/>
            <w:tcBorders>
              <w:bottom w:val="single" w:sz="8" w:color="auto"/>
            </w:tcBorders>
          </w:tcPr>
          <w:p>
            <w:pPr>
              <w:spacing w:after="0"/>
              <w:rPr>
                <w:sz w:val="21"/>
                <w:szCs w:val="21"/>
                <w:color w:val="auto"/>
              </w:rPr>
            </w:pPr>
          </w:p>
        </w:tc>
      </w:tr>
      <w:tr>
        <w:trPr>
          <w:trHeight w:val="228"/>
        </w:trPr>
        <w:tc>
          <w:tcPr>
            <w:tcW w:w="3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65"/>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volume</w:t>
            </w:r>
          </w:p>
        </w:tc>
        <w:tc>
          <w:tcPr>
            <w:tcW w:w="8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8,962</w:t>
            </w: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8,898</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26,585</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25,786</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w:t>
            </w: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6,162,957</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5,864,716</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18,271,178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17,107,723</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6.8%</w:t>
            </w:r>
          </w:p>
        </w:tc>
      </w:tr>
      <w:tr>
        <w:trPr>
          <w:trHeight w:val="251"/>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Expense management transaction volume*</w:t>
            </w:r>
          </w:p>
        </w:tc>
        <w:tc>
          <w:tcPr>
            <w:tcW w:w="8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6,935</w:t>
            </w: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6,034</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20,477</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16,989</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20.5%</w:t>
            </w: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Expense management dollar volume*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3,391,672</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3,301,049</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9,647,573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8,882,181</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8.6%</w:t>
            </w:r>
          </w:p>
        </w:tc>
      </w:tr>
      <w:tr>
        <w:trPr>
          <w:trHeight w:val="258"/>
        </w:trPr>
        <w:tc>
          <w:tcPr>
            <w:tcW w:w="38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23,761</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21,737</w:t>
            </w:r>
          </w:p>
        </w:tc>
        <w:tc>
          <w:tcPr>
            <w:tcW w:w="7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9.3%</w:t>
            </w:r>
          </w:p>
        </w:tc>
        <w:tc>
          <w:tcPr>
            <w:tcW w:w="4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69,332</w:t>
            </w:r>
          </w:p>
        </w:tc>
        <w:tc>
          <w:tcPr>
            <w:tcW w:w="3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62,162</w:t>
            </w:r>
          </w:p>
        </w:tc>
        <w:tc>
          <w:tcPr>
            <w:tcW w:w="7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11.5%</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*Includes energy, telecom and waste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2017 compared to Third Quarter of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transportation sector, invoice volume was up 0.7% while dollar volume rose 5.1%. The expense management group had 14.9% growth in transaction volume. New customer wins, combined with increased volume from current accounts, fueled the increase. Expense management dollar volume was also up 2.7% for the quarter.</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payment and processing revenue of 9.3% was primarily attributable to two factors: continued growth in the customer base of each market and the development, deployment, and expansion of new revenue-generating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gains on sales of securities in either the Third Quarter of 2017 or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2017 compared to Nine Months Ended 2016:</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Transportation invoice and dollar volumes, as well as expense management transaction and dollar volumes, increased for the same reasons as the Third Quarter.</w:t>
      </w: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payment and processing revenue of 11.5% was primarily attributable to two factors: continued growth in the customer base of each market and the development, deployment, and expansion of new revenue-generating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gains on sales of securities in the Nine Months Ended 2017, compared to $387,000 in the Nine Months Ended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Third Quarter of</w:t>
            </w: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Borders>
              <w:bottom w:val="single" w:sz="8" w:color="auto"/>
            </w:tcBorders>
          </w:tcPr>
          <w:p>
            <w:pPr>
              <w:spacing w:after="0"/>
              <w:rPr>
                <w:sz w:val="21"/>
                <w:szCs w:val="21"/>
                <w:color w:val="auto"/>
              </w:rPr>
            </w:pPr>
          </w:p>
        </w:tc>
      </w:tr>
      <w:tr>
        <w:trPr>
          <w:trHeight w:val="228"/>
        </w:trPr>
        <w:tc>
          <w:tcPr>
            <w:tcW w:w="4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65"/>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1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9"/>
              </w:rPr>
              <w:t>Change</w:t>
            </w:r>
          </w:p>
        </w:tc>
        <w:tc>
          <w:tcPr>
            <w:tcW w:w="13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14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444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earnings assets</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   1,395,025</w:t>
            </w:r>
          </w:p>
        </w:tc>
        <w:tc>
          <w:tcPr>
            <w:tcW w:w="15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   1,351,638</w:t>
            </w: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0C0C0"/>
          </w:tcPr>
          <w:p>
            <w:pPr>
              <w:spacing w:after="0"/>
              <w:rPr>
                <w:sz w:val="21"/>
                <w:szCs w:val="21"/>
                <w:color w:val="auto"/>
              </w:rPr>
            </w:pPr>
          </w:p>
        </w:tc>
        <w:tc>
          <w:tcPr>
            <w:tcW w:w="130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   1,348,253</w:t>
            </w:r>
          </w:p>
        </w:tc>
        <w:tc>
          <w:tcPr>
            <w:tcW w:w="14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   1,301,280</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35"/>
        </w:trPr>
        <w:tc>
          <w:tcPr>
            <w:tcW w:w="444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393,262</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428,786</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388,693</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426,825</w:t>
            </w: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4"/>
        </w:trPr>
        <w:tc>
          <w:tcPr>
            <w:tcW w:w="444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r>
              <w:rPr>
                <w:rFonts w:ascii="Arial" w:cs="Arial" w:eastAsia="Arial" w:hAnsi="Arial"/>
                <w:sz w:val="13"/>
                <w:szCs w:val="13"/>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11,513</w:t>
            </w:r>
          </w:p>
        </w:tc>
        <w:tc>
          <w:tcPr>
            <w:tcW w:w="15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10,842</w:t>
            </w: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0C0C0"/>
          </w:tcPr>
          <w:p>
            <w:pPr>
              <w:spacing w:after="0"/>
              <w:rPr>
                <w:sz w:val="22"/>
                <w:szCs w:val="22"/>
                <w:color w:val="auto"/>
              </w:rPr>
            </w:pPr>
          </w:p>
        </w:tc>
        <w:tc>
          <w:tcPr>
            <w:tcW w:w="130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33,765</w:t>
            </w:r>
          </w:p>
        </w:tc>
        <w:tc>
          <w:tcPr>
            <w:tcW w:w="14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32,370</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60" w:type="dxa"/>
            <w:vAlign w:val="bottom"/>
          </w:tcPr>
          <w:p>
            <w:pPr>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13"/>
                <w:szCs w:val="13"/>
                <w:color w:val="auto"/>
              </w:rPr>
              <w:t>*</w:t>
            </w:r>
          </w:p>
        </w:tc>
        <w:tc>
          <w:tcPr>
            <w:tcW w:w="2300" w:type="dxa"/>
            <w:vAlign w:val="bottom"/>
          </w:tcPr>
          <w:p>
            <w:pPr>
              <w:jc w:val="right"/>
              <w:ind w:right="372"/>
              <w:spacing w:after="0"/>
              <w:rPr>
                <w:sz w:val="20"/>
                <w:szCs w:val="20"/>
                <w:color w:val="auto"/>
              </w:rPr>
            </w:pPr>
            <w:r>
              <w:rPr>
                <w:rFonts w:ascii="Arial" w:cs="Arial" w:eastAsia="Arial" w:hAnsi="Arial"/>
                <w:sz w:val="18"/>
                <w:szCs w:val="18"/>
                <w:color w:val="auto"/>
              </w:rPr>
              <w:t>3.27%</w:t>
            </w:r>
          </w:p>
        </w:tc>
        <w:tc>
          <w:tcPr>
            <w:tcW w:w="1780" w:type="dxa"/>
            <w:vAlign w:val="bottom"/>
          </w:tcPr>
          <w:p>
            <w:pPr>
              <w:jc w:val="right"/>
              <w:ind w:right="772"/>
              <w:spacing w:after="0"/>
              <w:rPr>
                <w:sz w:val="20"/>
                <w:szCs w:val="20"/>
                <w:color w:val="auto"/>
              </w:rPr>
            </w:pPr>
            <w:r>
              <w:rPr>
                <w:rFonts w:ascii="Arial" w:cs="Arial" w:eastAsia="Arial" w:hAnsi="Arial"/>
                <w:sz w:val="18"/>
                <w:szCs w:val="18"/>
                <w:color w:val="auto"/>
              </w:rPr>
              <w:t>3.19%</w:t>
            </w:r>
          </w:p>
        </w:tc>
        <w:tc>
          <w:tcPr>
            <w:tcW w:w="1780" w:type="dxa"/>
            <w:vAlign w:val="bottom"/>
          </w:tcPr>
          <w:p>
            <w:pPr>
              <w:jc w:val="right"/>
              <w:ind w:right="392"/>
              <w:spacing w:after="0"/>
              <w:rPr>
                <w:sz w:val="20"/>
                <w:szCs w:val="20"/>
                <w:color w:val="auto"/>
              </w:rPr>
            </w:pPr>
            <w:r>
              <w:rPr>
                <w:rFonts w:ascii="Arial" w:cs="Arial" w:eastAsia="Arial" w:hAnsi="Arial"/>
                <w:sz w:val="18"/>
                <w:szCs w:val="18"/>
                <w:color w:val="auto"/>
              </w:rPr>
              <w:t>3.35%</w:t>
            </w:r>
          </w:p>
        </w:tc>
        <w:tc>
          <w:tcPr>
            <w:tcW w:w="1800" w:type="dxa"/>
            <w:vAlign w:val="bottom"/>
          </w:tcPr>
          <w:p>
            <w:pPr>
              <w:jc w:val="right"/>
              <w:ind w:right="812"/>
              <w:spacing w:after="0"/>
              <w:rPr>
                <w:sz w:val="20"/>
                <w:szCs w:val="20"/>
                <w:color w:val="auto"/>
              </w:rPr>
            </w:pPr>
            <w:r>
              <w:rPr>
                <w:rFonts w:ascii="Arial" w:cs="Arial" w:eastAsia="Arial" w:hAnsi="Arial"/>
                <w:sz w:val="18"/>
                <w:szCs w:val="18"/>
                <w:color w:val="auto"/>
              </w:rPr>
              <w:t>3.32%</w:t>
            </w:r>
          </w:p>
        </w:tc>
      </w:tr>
      <w:tr>
        <w:trPr>
          <w:trHeight w:val="264"/>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Yield on earning assets</w:t>
            </w:r>
            <w:r>
              <w:rPr>
                <w:rFonts w:ascii="Arial" w:cs="Arial" w:eastAsia="Arial" w:hAnsi="Arial"/>
                <w:sz w:val="13"/>
                <w:szCs w:val="13"/>
                <w:color w:val="auto"/>
              </w:rPr>
              <w:t>*</w:t>
            </w:r>
          </w:p>
        </w:tc>
        <w:tc>
          <w:tcPr>
            <w:tcW w:w="2300" w:type="dxa"/>
            <w:vAlign w:val="bottom"/>
            <w:shd w:val="clear" w:color="auto" w:fill="C0C0C0"/>
          </w:tcPr>
          <w:p>
            <w:pPr>
              <w:jc w:val="right"/>
              <w:ind w:right="372"/>
              <w:spacing w:after="0"/>
              <w:rPr>
                <w:sz w:val="20"/>
                <w:szCs w:val="20"/>
                <w:color w:val="auto"/>
              </w:rPr>
            </w:pPr>
            <w:r>
              <w:rPr>
                <w:rFonts w:ascii="Arial" w:cs="Arial" w:eastAsia="Arial" w:hAnsi="Arial"/>
                <w:sz w:val="18"/>
                <w:szCs w:val="18"/>
                <w:color w:val="auto"/>
              </w:rPr>
              <w:t>3.44%</w:t>
            </w:r>
          </w:p>
        </w:tc>
        <w:tc>
          <w:tcPr>
            <w:tcW w:w="1780" w:type="dxa"/>
            <w:vAlign w:val="bottom"/>
            <w:shd w:val="clear" w:color="auto" w:fill="C0C0C0"/>
          </w:tcPr>
          <w:p>
            <w:pPr>
              <w:jc w:val="right"/>
              <w:ind w:right="772"/>
              <w:spacing w:after="0"/>
              <w:rPr>
                <w:sz w:val="20"/>
                <w:szCs w:val="20"/>
                <w:color w:val="auto"/>
              </w:rPr>
            </w:pPr>
            <w:r>
              <w:rPr>
                <w:rFonts w:ascii="Arial" w:cs="Arial" w:eastAsia="Arial" w:hAnsi="Arial"/>
                <w:sz w:val="18"/>
                <w:szCs w:val="18"/>
                <w:color w:val="auto"/>
              </w:rPr>
              <w:t>3.34%</w:t>
            </w:r>
          </w:p>
        </w:tc>
        <w:tc>
          <w:tcPr>
            <w:tcW w:w="178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3.50%</w:t>
            </w:r>
          </w:p>
        </w:tc>
        <w:tc>
          <w:tcPr>
            <w:tcW w:w="1800" w:type="dxa"/>
            <w:vAlign w:val="bottom"/>
            <w:shd w:val="clear" w:color="auto" w:fill="C0C0C0"/>
          </w:tcPr>
          <w:p>
            <w:pPr>
              <w:jc w:val="right"/>
              <w:ind w:right="812"/>
              <w:spacing w:after="0"/>
              <w:rPr>
                <w:sz w:val="20"/>
                <w:szCs w:val="20"/>
                <w:color w:val="auto"/>
              </w:rPr>
            </w:pPr>
            <w:r>
              <w:rPr>
                <w:rFonts w:ascii="Arial" w:cs="Arial" w:eastAsia="Arial" w:hAnsi="Arial"/>
                <w:sz w:val="18"/>
                <w:szCs w:val="18"/>
                <w:color w:val="auto"/>
              </w:rPr>
              <w:t>3.48%</w:t>
            </w:r>
          </w:p>
        </w:tc>
      </w:tr>
      <w:tr>
        <w:trPr>
          <w:trHeight w:val="250"/>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on interest-bearing liabilities</w:t>
            </w:r>
          </w:p>
        </w:tc>
        <w:tc>
          <w:tcPr>
            <w:tcW w:w="23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.58%</w:t>
            </w:r>
          </w:p>
        </w:tc>
        <w:tc>
          <w:tcPr>
            <w:tcW w:w="17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.47%</w:t>
            </w:r>
          </w:p>
        </w:tc>
        <w:tc>
          <w:tcPr>
            <w:tcW w:w="17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.52%</w:t>
            </w:r>
          </w:p>
        </w:tc>
        <w:tc>
          <w:tcPr>
            <w:tcW w:w="18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.48%</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*Presented on a tax-equivalent basis assuming a tax rate of 35%.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Third Quarter of 2017 compared to Third Quarter of 2016:</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Third Quarter of 2017 average earning assets increased $43,387,000, or 3.2%, compared to the same period in the prior year as the result of growth in funding sources. Components of these variances are as follows:</w:t>
      </w:r>
    </w:p>
    <w:p>
      <w:pPr>
        <w:spacing w:after="0" w:line="186" w:lineRule="exact"/>
        <w:rPr>
          <w:sz w:val="20"/>
          <w:szCs w:val="20"/>
          <w:color w:val="auto"/>
        </w:rPr>
      </w:pPr>
    </w:p>
    <w:p>
      <w:pPr>
        <w:jc w:val="both"/>
        <w:ind w:left="280"/>
        <w:spacing w:after="0" w:line="306" w:lineRule="auto"/>
        <w:rPr>
          <w:sz w:val="20"/>
          <w:szCs w:val="20"/>
          <w:color w:val="auto"/>
        </w:rPr>
      </w:pPr>
      <w:r>
        <w:rPr>
          <w:rFonts w:ascii="Arial" w:cs="Arial" w:eastAsia="Arial" w:hAnsi="Arial"/>
          <w:sz w:val="16"/>
          <w:szCs w:val="16"/>
          <w:i w:val="1"/>
          <w:iCs w:val="1"/>
          <w:color w:val="auto"/>
        </w:rPr>
        <w:t xml:space="preserve">Earning Assets. </w:t>
      </w:r>
      <w:r>
        <w:rPr>
          <w:rFonts w:ascii="Arial" w:cs="Arial" w:eastAsia="Arial" w:hAnsi="Arial"/>
          <w:sz w:val="16"/>
          <w:szCs w:val="16"/>
          <w:color w:val="auto"/>
        </w:rPr>
        <w:t>Average investment securities increased $77,815,000, or 22.4%, and average federal funds sold and other short-term investments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$14,478,000, or 7.8%, for the Third Quarter of 2017 as compared to the Third Quarter of 2016. Interest-bearing deposits in other financial institutions decreased $25,111,000, or 19.7%, and loans decreased $22,219,000, or 3.3%, compared to the same period in the prior year.</w:t>
      </w:r>
    </w:p>
    <w:p>
      <w:pPr>
        <w:spacing w:after="0" w:line="161"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i w:val="1"/>
          <w:iCs w:val="1"/>
          <w:color w:val="auto"/>
        </w:rPr>
        <w:t xml:space="preserve">Funding Sources. </w:t>
      </w:r>
      <w:r>
        <w:rPr>
          <w:rFonts w:ascii="Arial" w:cs="Arial" w:eastAsia="Arial" w:hAnsi="Arial"/>
          <w:sz w:val="18"/>
          <w:szCs w:val="18"/>
          <w:color w:val="auto"/>
        </w:rPr>
        <w:t>Average accounts and drafts payable balances for the Third Quarter of 2017 increased $46,748,000, or 6.8%, and non-interest bearing</w:t>
      </w:r>
      <w:r>
        <w:rPr>
          <w:rFonts w:ascii="Arial" w:cs="Arial" w:eastAsia="Arial" w:hAnsi="Arial"/>
          <w:sz w:val="18"/>
          <w:szCs w:val="18"/>
          <w:i w:val="1"/>
          <w:iCs w:val="1"/>
          <w:color w:val="auto"/>
        </w:rPr>
        <w:t xml:space="preserve"> </w:t>
      </w:r>
      <w:r>
        <w:rPr>
          <w:rFonts w:ascii="Arial" w:cs="Arial" w:eastAsia="Arial" w:hAnsi="Arial"/>
          <w:sz w:val="18"/>
          <w:szCs w:val="18"/>
          <w:color w:val="auto"/>
        </w:rPr>
        <w:t>demand deposits increased $15,244,000, or 7.9%, as compared to the Third Quarter of 2016. Total average interest-bearing liabilities for the Third Quarter of 2017 decreased by $35,524,000, or 8.3%, compared to the Third Quarter of 2016.</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interest margin and yield on earning assets both increased in the Third Quarter of 2017 compared to the Third Quarter of 2016 as a result of Federal Reserve actions which increased yield on short-term investments and led to an increase in the Cass prime 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2017 compared to Nine Months Ended 2016:</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Nine Months Ended 2017 average earning assets increased $46,973,000, or 3.6%, compared to the same period in the prior year as the result of growth in funding sources. Components of these variances are as follows:</w:t>
      </w:r>
    </w:p>
    <w:p>
      <w:pPr>
        <w:spacing w:after="0" w:line="186"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i w:val="1"/>
          <w:iCs w:val="1"/>
          <w:color w:val="auto"/>
        </w:rPr>
        <w:t xml:space="preserve">Earning Assets. </w:t>
      </w:r>
      <w:r>
        <w:rPr>
          <w:rFonts w:ascii="Arial" w:cs="Arial" w:eastAsia="Arial" w:hAnsi="Arial"/>
          <w:sz w:val="18"/>
          <w:szCs w:val="18"/>
          <w:color w:val="auto"/>
        </w:rPr>
        <w:t>Average investment securities increased $72,045,000, or 20.8%, and other short-term investments increased $24,577,000, or 17.7%,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2017 as compared to the Nine Months Ended 2016. Interest-bearing deposits in other financial institutions decreased $30,251,000, or 23.4%, and loans decreased $18,364,000, or 2.7%, compared to the same period in the prior year.</w:t>
      </w:r>
    </w:p>
    <w:p>
      <w:pPr>
        <w:spacing w:after="0" w:line="194"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i w:val="1"/>
          <w:iCs w:val="1"/>
          <w:color w:val="auto"/>
        </w:rPr>
        <w:t xml:space="preserve">Funding Sources. </w:t>
      </w:r>
      <w:r>
        <w:rPr>
          <w:rFonts w:ascii="Arial" w:cs="Arial" w:eastAsia="Arial" w:hAnsi="Arial"/>
          <w:sz w:val="18"/>
          <w:szCs w:val="18"/>
          <w:color w:val="auto"/>
        </w:rPr>
        <w:t>Average accounts and drafts payable balances for the Nine Months Ended 2017 increased $55,231,000, or 8.5%, and non-interest bearing</w:t>
      </w:r>
      <w:r>
        <w:rPr>
          <w:rFonts w:ascii="Arial" w:cs="Arial" w:eastAsia="Arial" w:hAnsi="Arial"/>
          <w:sz w:val="18"/>
          <w:szCs w:val="18"/>
          <w:i w:val="1"/>
          <w:iCs w:val="1"/>
          <w:color w:val="auto"/>
        </w:rPr>
        <w:t xml:space="preserve"> </w:t>
      </w:r>
      <w:r>
        <w:rPr>
          <w:rFonts w:ascii="Arial" w:cs="Arial" w:eastAsia="Arial" w:hAnsi="Arial"/>
          <w:sz w:val="18"/>
          <w:szCs w:val="18"/>
          <w:color w:val="auto"/>
        </w:rPr>
        <w:t>demand deposits increased $17,959,000, or 9.6%, as compared to the Nine Months Ended 2016. Total average interest-bearing liabilities for the Nine Months Ended 2017 decreased by $38,132,000, or 8.9%, compared to the Nine Months Ended 2016.</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interest margin and yield on earning assets both increased in the Nine Months Ended 2017 compared to the Nine Months Ended 2016 as a result of Federal Reserve actions which increased yield on short-term investments and led to an increase in the Cass prime 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51"/>
        </w:trPr>
        <w:tc>
          <w:tcPr>
            <w:tcW w:w="4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 of 2017</w:t>
            </w:r>
          </w:p>
        </w:tc>
        <w:tc>
          <w:tcPr>
            <w:tcW w:w="6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 of 2016</w:t>
            </w:r>
          </w:p>
        </w:tc>
        <w:tc>
          <w:tcPr>
            <w:tcW w:w="680" w:type="dxa"/>
            <w:vAlign w:val="bottom"/>
            <w:tcBorders>
              <w:bottom w:val="single" w:sz="8" w:color="auto"/>
            </w:tcBorders>
          </w:tcPr>
          <w:p>
            <w:pPr>
              <w:spacing w:after="0"/>
              <w:rPr>
                <w:sz w:val="21"/>
                <w:szCs w:val="21"/>
                <w:color w:val="auto"/>
              </w:rPr>
            </w:pPr>
          </w:p>
        </w:tc>
      </w:tr>
      <w:tr>
        <w:trPr>
          <w:trHeight w:val="228"/>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680" w:type="dxa"/>
            <w:vAlign w:val="bottom"/>
          </w:tcPr>
          <w:p>
            <w:pPr>
              <w:spacing w:after="0"/>
              <w:rPr>
                <w:sz w:val="19"/>
                <w:szCs w:val="19"/>
                <w:color w:val="auto"/>
              </w:rPr>
            </w:pPr>
          </w:p>
        </w:tc>
      </w:tr>
      <w:tr>
        <w:trPr>
          <w:trHeight w:val="242"/>
        </w:trPr>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Average</w:t>
            </w:r>
          </w:p>
        </w:tc>
        <w:tc>
          <w:tcPr>
            <w:tcW w:w="2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Yield/</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Average</w:t>
            </w:r>
          </w:p>
        </w:tc>
        <w:tc>
          <w:tcPr>
            <w:tcW w:w="2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Yield/</w:t>
            </w:r>
          </w:p>
        </w:tc>
      </w:tr>
      <w:tr>
        <w:trPr>
          <w:trHeight w:val="26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Rate</w:t>
            </w:r>
          </w:p>
        </w:tc>
        <w:tc>
          <w:tcPr>
            <w:tcW w:w="2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Rate</w:t>
            </w:r>
          </w:p>
        </w:tc>
      </w:tr>
      <w:tr>
        <w:trPr>
          <w:trHeight w:val="311"/>
        </w:trPr>
        <w:tc>
          <w:tcPr>
            <w:tcW w:w="474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8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80" w:type="dxa"/>
            <w:vAlign w:val="bottom"/>
            <w:shd w:val="clear" w:color="auto" w:fill="C0C0C0"/>
          </w:tcPr>
          <w:p>
            <w:pPr>
              <w:spacing w:after="0"/>
              <w:rPr>
                <w:sz w:val="24"/>
                <w:szCs w:val="24"/>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Earning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8"/>
        </w:trPr>
        <w:tc>
          <w:tcPr>
            <w:tcW w:w="474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8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80" w:type="dxa"/>
            <w:vAlign w:val="bottom"/>
            <w:shd w:val="clear" w:color="auto" w:fill="C0C0C0"/>
          </w:tcPr>
          <w:p>
            <w:pPr>
              <w:spacing w:after="0"/>
              <w:rPr>
                <w:sz w:val="24"/>
                <w:szCs w:val="24"/>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655,723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7,178</w:t>
            </w: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664,705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7,121</w:t>
            </w:r>
          </w:p>
        </w:tc>
        <w:tc>
          <w:tcPr>
            <w:tcW w:w="68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318"/>
        </w:trPr>
        <w:tc>
          <w:tcPr>
            <w:tcW w:w="474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4,466</w:t>
            </w: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17,703</w:t>
            </w: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219</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4.92</w:t>
            </w:r>
          </w:p>
        </w:tc>
      </w:tr>
      <w:tr>
        <w:trPr>
          <w:trHeight w:val="311"/>
        </w:trPr>
        <w:tc>
          <w:tcPr>
            <w:tcW w:w="474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19,703</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94</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5,714</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1.53</w:t>
            </w:r>
          </w:p>
        </w:tc>
      </w:tr>
      <w:tr>
        <w:trPr>
          <w:trHeight w:val="311"/>
        </w:trPr>
        <w:tc>
          <w:tcPr>
            <w:tcW w:w="474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406,131</w:t>
            </w:r>
          </w:p>
        </w:tc>
        <w:tc>
          <w:tcPr>
            <w:tcW w:w="24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4,007</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342,305</w:t>
            </w:r>
          </w:p>
        </w:tc>
        <w:tc>
          <w:tcPr>
            <w:tcW w:w="24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3,672</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4.27</w:t>
            </w: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6,763</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8,339</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.67</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102,203</w:t>
            </w:r>
          </w:p>
        </w:tc>
        <w:tc>
          <w:tcPr>
            <w:tcW w:w="2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300</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127,314</w:t>
            </w:r>
          </w:p>
        </w:tc>
        <w:tc>
          <w:tcPr>
            <w:tcW w:w="2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162</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.51</w:t>
            </w:r>
          </w:p>
        </w:tc>
      </w:tr>
      <w:tr>
        <w:trPr>
          <w:trHeight w:val="244"/>
        </w:trPr>
        <w:tc>
          <w:tcPr>
            <w:tcW w:w="4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200,036</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444</w:t>
            </w: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185,558</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137</w:t>
            </w: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.29</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Total earning assets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1,395,025</w:t>
            </w:r>
          </w:p>
        </w:tc>
        <w:tc>
          <w:tcPr>
            <w:tcW w:w="2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12,084</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1,351,638</w:t>
            </w:r>
          </w:p>
        </w:tc>
        <w:tc>
          <w:tcPr>
            <w:tcW w:w="2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11,347</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3.34</w:t>
            </w:r>
          </w:p>
        </w:tc>
      </w:tr>
      <w:tr>
        <w:trPr>
          <w:trHeight w:val="251"/>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12,704</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12,097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21,256</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20,773</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16,738</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16,238</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14,742</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13,749</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149,266</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148,734</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4"/>
        </w:trPr>
        <w:tc>
          <w:tcPr>
            <w:tcW w:w="47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(10,199)</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(10,673)</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1,599,532</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1,552,556</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311"/>
        </w:trPr>
        <w:tc>
          <w:tcPr>
            <w:tcW w:w="474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8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80" w:type="dxa"/>
            <w:vAlign w:val="bottom"/>
            <w:shd w:val="clear" w:color="auto" w:fill="C0C0C0"/>
          </w:tcPr>
          <w:p>
            <w:pPr>
              <w:spacing w:after="0"/>
              <w:rPr>
                <w:sz w:val="24"/>
                <w:szCs w:val="24"/>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327,997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434</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351,971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347</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w:t>
            </w: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12,493</w:t>
            </w:r>
          </w:p>
        </w:tc>
        <w:tc>
          <w:tcPr>
            <w:tcW w:w="2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17</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19,679</w:t>
            </w:r>
          </w:p>
        </w:tc>
        <w:tc>
          <w:tcPr>
            <w:tcW w:w="2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24</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.49</w:t>
            </w: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23,486</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68</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22,237</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69</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1.23</w:t>
            </w:r>
          </w:p>
        </w:tc>
      </w:tr>
      <w:tr>
        <w:trPr>
          <w:trHeight w:val="237"/>
        </w:trPr>
        <w:tc>
          <w:tcPr>
            <w:tcW w:w="4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29,286</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52</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34,899</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65</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w:t>
            </w: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393,262</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571</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428,786</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505</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208,932</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193,688</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739,293</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692,545</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4"/>
        </w:trPr>
        <w:tc>
          <w:tcPr>
            <w:tcW w:w="47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37,317</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28,467</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1,378,804</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1,343,486</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4"/>
        </w:trPr>
        <w:tc>
          <w:tcPr>
            <w:tcW w:w="4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220,728</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209,070</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1,599,532</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1,552,556</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11,513</w:t>
            </w: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10,842</w:t>
            </w:r>
          </w:p>
        </w:tc>
        <w:tc>
          <w:tcPr>
            <w:tcW w:w="680" w:type="dxa"/>
            <w:vAlign w:val="bottom"/>
            <w:shd w:val="clear" w:color="auto" w:fill="C0C0C0"/>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58"/>
        </w:trPr>
        <w:tc>
          <w:tcPr>
            <w:tcW w:w="4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18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2.86</w:t>
            </w:r>
          </w:p>
        </w:tc>
        <w:tc>
          <w:tcPr>
            <w:tcW w:w="280" w:type="dxa"/>
            <w:vAlign w:val="bottom"/>
            <w:tcBorders>
              <w:bottom w:val="single" w:sz="8" w:color="auto"/>
            </w:tcBorders>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2.87</w:t>
            </w:r>
          </w:p>
        </w:tc>
      </w:tr>
    </w:tbl>
    <w:p>
      <w:pPr>
        <w:ind w:left="260" w:hanging="252"/>
        <w:spacing w:after="0" w:line="223"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60" w:hanging="252"/>
        <w:spacing w:after="0" w:line="221"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2016 consolidated financial statements, filed with the Company’s 2016 Annual Report on Form 10-K.</w:t>
      </w:r>
    </w:p>
    <w:p>
      <w:pPr>
        <w:ind w:left="260" w:hanging="252"/>
        <w:spacing w:after="0" w:line="221"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$76,000 for both the Third Quarter of 2017 and 2016.</w:t>
      </w:r>
    </w:p>
    <w:p>
      <w:pPr>
        <w:ind w:left="260" w:hanging="252"/>
        <w:spacing w:after="0" w:line="221"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 The tax-equivalent adjustment was approximately $1,419,000 and $1,361,000 for the Third Quarter of 2017 and 2016, respectively.</w:t>
      </w: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1"/>
        </w:trPr>
        <w:tc>
          <w:tcPr>
            <w:tcW w:w="4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2017</w:t>
            </w:r>
          </w:p>
        </w:tc>
        <w:tc>
          <w:tcPr>
            <w:tcW w:w="6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2016</w:t>
            </w:r>
          </w:p>
        </w:tc>
        <w:tc>
          <w:tcPr>
            <w:tcW w:w="620" w:type="dxa"/>
            <w:vAlign w:val="bottom"/>
            <w:tcBorders>
              <w:bottom w:val="single" w:sz="8" w:color="auto"/>
            </w:tcBorders>
          </w:tcPr>
          <w:p>
            <w:pPr>
              <w:spacing w:after="0"/>
              <w:rPr>
                <w:sz w:val="21"/>
                <w:szCs w:val="21"/>
                <w:color w:val="auto"/>
              </w:rPr>
            </w:pPr>
          </w:p>
        </w:tc>
      </w:tr>
      <w:tr>
        <w:trPr>
          <w:trHeight w:val="228"/>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620" w:type="dxa"/>
            <w:vAlign w:val="bottom"/>
          </w:tcPr>
          <w:p>
            <w:pPr>
              <w:spacing w:after="0"/>
              <w:rPr>
                <w:sz w:val="19"/>
                <w:szCs w:val="19"/>
                <w:color w:val="auto"/>
              </w:rPr>
            </w:pPr>
          </w:p>
        </w:tc>
      </w:tr>
      <w:tr>
        <w:trPr>
          <w:trHeight w:val="242"/>
        </w:trPr>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Average</w:t>
            </w:r>
          </w:p>
        </w:tc>
        <w:tc>
          <w:tcPr>
            <w:tcW w:w="2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w w:val="95"/>
              </w:rPr>
              <w:t>Yield/</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Average</w:t>
            </w:r>
          </w:p>
        </w:tc>
        <w:tc>
          <w:tcPr>
            <w:tcW w:w="2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w w:val="95"/>
              </w:rPr>
              <w:t>Yield/</w:t>
            </w:r>
          </w:p>
        </w:tc>
      </w:tr>
      <w:tr>
        <w:trPr>
          <w:trHeight w:val="26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Rate</w:t>
            </w:r>
          </w:p>
        </w:tc>
        <w:tc>
          <w:tcPr>
            <w:tcW w:w="2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Rate</w:t>
            </w:r>
          </w:p>
        </w:tc>
      </w:tr>
      <w:tr>
        <w:trPr>
          <w:trHeight w:val="311"/>
        </w:trPr>
        <w:tc>
          <w:tcPr>
            <w:tcW w:w="474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Earning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18"/>
        </w:trPr>
        <w:tc>
          <w:tcPr>
            <w:tcW w:w="474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656,314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21,164</w:t>
            </w:r>
          </w:p>
        </w:tc>
        <w:tc>
          <w:tcPr>
            <w:tcW w:w="620" w:type="dxa"/>
            <w:vAlign w:val="bottom"/>
          </w:tcPr>
          <w:p>
            <w:pPr>
              <w:jc w:val="right"/>
              <w:spacing w:after="0"/>
              <w:rPr>
                <w:sz w:val="20"/>
                <w:szCs w:val="20"/>
                <w:color w:val="auto"/>
              </w:rPr>
            </w:pPr>
            <w:r>
              <w:rPr>
                <w:rFonts w:ascii="Arial" w:cs="Arial" w:eastAsia="Arial" w:hAnsi="Arial"/>
                <w:sz w:val="18"/>
                <w:szCs w:val="18"/>
                <w:color w:val="auto"/>
              </w:rPr>
              <w:t>4.31%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661,435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21,278</w:t>
            </w:r>
          </w:p>
        </w:tc>
        <w:tc>
          <w:tcPr>
            <w:tcW w:w="6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318"/>
        </w:trPr>
        <w:tc>
          <w:tcPr>
            <w:tcW w:w="474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5,274</w:t>
            </w: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157</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18,517</w:t>
            </w: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666</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4.80</w:t>
            </w:r>
          </w:p>
        </w:tc>
      </w:tr>
      <w:tr>
        <w:trPr>
          <w:trHeight w:val="311"/>
        </w:trPr>
        <w:tc>
          <w:tcPr>
            <w:tcW w:w="474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15,905</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232</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2,711</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33</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1.63</w:t>
            </w:r>
          </w:p>
        </w:tc>
      </w:tr>
      <w:tr>
        <w:trPr>
          <w:trHeight w:val="311"/>
        </w:trPr>
        <w:tc>
          <w:tcPr>
            <w:tcW w:w="474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401,903</w:t>
            </w:r>
          </w:p>
        </w:tc>
        <w:tc>
          <w:tcPr>
            <w:tcW w:w="24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12,100</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343,052</w:t>
            </w:r>
          </w:p>
        </w:tc>
        <w:tc>
          <w:tcPr>
            <w:tcW w:w="24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11,104</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4.32</w:t>
            </w: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6,592</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7,626</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.63</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99,206</w:t>
            </w:r>
          </w:p>
        </w:tc>
        <w:tc>
          <w:tcPr>
            <w:tcW w:w="240" w:type="dxa"/>
            <w:vAlign w:val="bottom"/>
          </w:tcPr>
          <w:p>
            <w:pPr>
              <w:spacing w:after="0"/>
              <w:rPr>
                <w:sz w:val="20"/>
                <w:szCs w:val="20"/>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703</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129,457</w:t>
            </w:r>
          </w:p>
        </w:tc>
        <w:tc>
          <w:tcPr>
            <w:tcW w:w="240" w:type="dxa"/>
            <w:vAlign w:val="bottom"/>
          </w:tcPr>
          <w:p>
            <w:pPr>
              <w:spacing w:after="0"/>
              <w:rPr>
                <w:sz w:val="20"/>
                <w:szCs w:val="20"/>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484</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244"/>
        </w:trPr>
        <w:tc>
          <w:tcPr>
            <w:tcW w:w="4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163,059</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color w:val="auto"/>
              </w:rPr>
              <w:t>894</w:t>
            </w:r>
          </w:p>
        </w:tc>
        <w:tc>
          <w:tcPr>
            <w:tcW w:w="6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138,482</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color w:val="auto"/>
              </w:rPr>
              <w:t>291</w:t>
            </w:r>
          </w:p>
        </w:tc>
        <w:tc>
          <w:tcPr>
            <w:tcW w:w="6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.28</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Total earning assets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1,348,253</w:t>
            </w:r>
          </w:p>
        </w:tc>
        <w:tc>
          <w:tcPr>
            <w:tcW w:w="240" w:type="dxa"/>
            <w:vAlign w:val="bottom"/>
          </w:tcPr>
          <w:p>
            <w:pPr>
              <w:spacing w:after="0"/>
              <w:rPr>
                <w:sz w:val="20"/>
                <w:szCs w:val="20"/>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35,286</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1,301,280</w:t>
            </w:r>
          </w:p>
        </w:tc>
        <w:tc>
          <w:tcPr>
            <w:tcW w:w="240" w:type="dxa"/>
            <w:vAlign w:val="bottom"/>
          </w:tcPr>
          <w:p>
            <w:pPr>
              <w:spacing w:after="0"/>
              <w:rPr>
                <w:sz w:val="20"/>
                <w:szCs w:val="20"/>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33,892</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3.48</w:t>
            </w:r>
          </w:p>
        </w:tc>
      </w:tr>
      <w:tr>
        <w:trPr>
          <w:trHeight w:val="251"/>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12,729</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11,716</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21,225</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20,371</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16,615</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16,110</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14,408</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13,851</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144,086</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144,129</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4"/>
        </w:trPr>
        <w:tc>
          <w:tcPr>
            <w:tcW w:w="47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(10,190)</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(10,981)</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1,547,126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1,496,476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311"/>
        </w:trPr>
        <w:tc>
          <w:tcPr>
            <w:tcW w:w="474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12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317,046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1,090</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348,221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1,043</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17,007</w:t>
            </w:r>
          </w:p>
        </w:tc>
        <w:tc>
          <w:tcPr>
            <w:tcW w:w="240" w:type="dxa"/>
            <w:vAlign w:val="bottom"/>
          </w:tcPr>
          <w:p>
            <w:pPr>
              <w:spacing w:after="0"/>
              <w:rPr>
                <w:sz w:val="20"/>
                <w:szCs w:val="20"/>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62</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18,756</w:t>
            </w:r>
          </w:p>
        </w:tc>
        <w:tc>
          <w:tcPr>
            <w:tcW w:w="240" w:type="dxa"/>
            <w:vAlign w:val="bottom"/>
          </w:tcPr>
          <w:p>
            <w:pPr>
              <w:spacing w:after="0"/>
              <w:rPr>
                <w:sz w:val="20"/>
                <w:szCs w:val="20"/>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68</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23,238</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195</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22,425</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201</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1.20</w:t>
            </w:r>
          </w:p>
        </w:tc>
      </w:tr>
      <w:tr>
        <w:trPr>
          <w:trHeight w:val="237"/>
        </w:trPr>
        <w:tc>
          <w:tcPr>
            <w:tcW w:w="4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31,402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174</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37,423</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210</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w:t>
            </w: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388,693</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1,521</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426,825</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1,522</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1"/>
        </w:trPr>
        <w:tc>
          <w:tcPr>
            <w:tcW w:w="4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205,298</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187,339</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35"/>
        </w:trPr>
        <w:tc>
          <w:tcPr>
            <w:tcW w:w="474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703,912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648,681</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4"/>
        </w:trPr>
        <w:tc>
          <w:tcPr>
            <w:tcW w:w="47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34,821</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26,475</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1,332,724</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1,289,320</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4"/>
        </w:trPr>
        <w:tc>
          <w:tcPr>
            <w:tcW w:w="4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214,402</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207,156</w:t>
            </w:r>
          </w:p>
        </w:tc>
        <w:tc>
          <w:tcPr>
            <w:tcW w:w="24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1,547,126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1,496,476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33,765</w:t>
            </w: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32,370</w:t>
            </w:r>
          </w:p>
        </w:tc>
        <w:tc>
          <w:tcPr>
            <w:tcW w:w="620" w:type="dxa"/>
            <w:vAlign w:val="bottom"/>
            <w:shd w:val="clear" w:color="auto" w:fill="C0C0C0"/>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58"/>
        </w:trPr>
        <w:tc>
          <w:tcPr>
            <w:tcW w:w="4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18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12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auto"/>
            </w:tcBorders>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12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3.00</w:t>
            </w:r>
          </w:p>
        </w:tc>
      </w:tr>
    </w:tbl>
    <w:p>
      <w:pPr>
        <w:ind w:left="260" w:hanging="252"/>
        <w:spacing w:after="0" w:line="223"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60" w:hanging="252"/>
        <w:spacing w:after="0" w:line="221"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2016 consolidated financial statements, filed with the Company’s 2016 Annual Report on Form 10-K.</w:t>
      </w:r>
    </w:p>
    <w:p>
      <w:pPr>
        <w:ind w:left="260" w:hanging="252"/>
        <w:spacing w:after="0" w:line="221"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$319,000 and $311,000 for the Nine Months Ended 2017 and 2016, respectively.</w:t>
      </w:r>
    </w:p>
    <w:p>
      <w:pPr>
        <w:ind w:left="260" w:hanging="252"/>
        <w:spacing w:after="0" w:line="221"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 The tax-equivalent adjustment was approximately $4,290,000 and $4,119,000 for the Nine Months Ended 2017 and 2016, respectively.</w:t>
      </w:r>
    </w:p>
    <w:p>
      <w:pPr>
        <w:ind w:left="260" w:hanging="252"/>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jc w:val="center"/>
              <w:ind w:right="32"/>
              <w:spacing w:after="0"/>
              <w:rPr>
                <w:sz w:val="20"/>
                <w:szCs w:val="20"/>
                <w:color w:val="auto"/>
              </w:rPr>
            </w:pPr>
            <w:r>
              <w:rPr>
                <w:rFonts w:ascii="Arial" w:cs="Arial" w:eastAsia="Arial" w:hAnsi="Arial"/>
                <w:sz w:val="18"/>
                <w:szCs w:val="18"/>
                <w:b w:val="1"/>
                <w:bCs w:val="1"/>
                <w:color w:val="auto"/>
                <w:w w:val="92"/>
              </w:rPr>
              <w:t>Third Quarter of 2017 Over</w:t>
            </w:r>
          </w:p>
        </w:tc>
      </w:tr>
      <w:tr>
        <w:trPr>
          <w:trHeight w:val="266"/>
        </w:trPr>
        <w:tc>
          <w:tcPr>
            <w:tcW w:w="84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4"/>
          </w:tcPr>
          <w:p>
            <w:pPr>
              <w:jc w:val="center"/>
              <w:ind w:left="432"/>
              <w:spacing w:after="0"/>
              <w:rPr>
                <w:sz w:val="20"/>
                <w:szCs w:val="20"/>
                <w:color w:val="auto"/>
              </w:rPr>
            </w:pPr>
            <w:r>
              <w:rPr>
                <w:rFonts w:ascii="Arial" w:cs="Arial" w:eastAsia="Arial" w:hAnsi="Arial"/>
                <w:sz w:val="18"/>
                <w:szCs w:val="18"/>
                <w:b w:val="1"/>
                <w:bCs w:val="1"/>
                <w:color w:val="auto"/>
                <w:w w:val="92"/>
              </w:rPr>
              <w:t>Third Quarter of 2016</w:t>
            </w:r>
          </w:p>
        </w:tc>
        <w:tc>
          <w:tcPr>
            <w:tcW w:w="620" w:type="dxa"/>
            <w:vAlign w:val="bottom"/>
            <w:tcBorders>
              <w:bottom w:val="single" w:sz="8" w:color="auto"/>
            </w:tcBorders>
          </w:tcPr>
          <w:p>
            <w:pPr>
              <w:spacing w:after="0"/>
              <w:rPr>
                <w:sz w:val="23"/>
                <w:szCs w:val="23"/>
                <w:color w:val="auto"/>
              </w:rPr>
            </w:pPr>
          </w:p>
        </w:tc>
      </w:tr>
      <w:tr>
        <w:trPr>
          <w:trHeight w:val="250"/>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Volume</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2"/>
              </w:rPr>
              <w:t>Rate</w:t>
            </w: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8"/>
              </w:rPr>
              <w:t>Total</w:t>
            </w: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311"/>
        </w:trPr>
        <w:tc>
          <w:tcPr>
            <w:tcW w:w="848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84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57</w:t>
            </w:r>
          </w:p>
        </w:tc>
      </w:tr>
      <w:tr>
        <w:trPr>
          <w:trHeight w:val="311"/>
        </w:trPr>
        <w:tc>
          <w:tcPr>
            <w:tcW w:w="848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35"/>
        </w:trPr>
        <w:tc>
          <w:tcPr>
            <w:tcW w:w="8480" w:type="dxa"/>
            <w:vAlign w:val="bottom"/>
          </w:tcPr>
          <w:p>
            <w:pPr>
              <w:ind w:left="540"/>
              <w:spacing w:after="0"/>
              <w:rPr>
                <w:sz w:val="20"/>
                <w:szCs w:val="20"/>
                <w:color w:val="auto"/>
              </w:rPr>
            </w:pPr>
            <w:r>
              <w:rPr>
                <w:rFonts w:ascii="Arial" w:cs="Arial" w:eastAsia="Arial" w:hAnsi="Arial"/>
                <w:sz w:val="18"/>
                <w:szCs w:val="18"/>
                <w:color w:val="auto"/>
              </w:rPr>
              <w:t>Taxable</w:t>
            </w:r>
          </w:p>
        </w:tc>
        <w:tc>
          <w:tcPr>
            <w:tcW w:w="12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318"/>
        </w:trPr>
        <w:tc>
          <w:tcPr>
            <w:tcW w:w="848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2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653</w:t>
            </w:r>
          </w:p>
        </w:tc>
        <w:tc>
          <w:tcPr>
            <w:tcW w:w="300" w:type="dxa"/>
            <w:vAlign w:val="bottom"/>
            <w:shd w:val="clear" w:color="auto" w:fill="C0C0C0"/>
          </w:tcPr>
          <w:p>
            <w:pPr>
              <w:spacing w:after="0"/>
              <w:rPr>
                <w:sz w:val="24"/>
                <w:szCs w:val="24"/>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0C0C0"/>
          </w:tcPr>
          <w:p>
            <w:pPr>
              <w:spacing w:after="0"/>
              <w:rPr>
                <w:sz w:val="24"/>
                <w:szCs w:val="24"/>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335</w:t>
            </w:r>
          </w:p>
        </w:tc>
      </w:tr>
      <w:tr>
        <w:trPr>
          <w:trHeight w:val="235"/>
        </w:trPr>
        <w:tc>
          <w:tcPr>
            <w:tcW w:w="848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138</w:t>
            </w:r>
          </w:p>
        </w:tc>
      </w:tr>
      <w:tr>
        <w:trPr>
          <w:trHeight w:val="237"/>
        </w:trPr>
        <w:tc>
          <w:tcPr>
            <w:tcW w:w="84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295</w:t>
            </w: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307</w:t>
            </w:r>
          </w:p>
        </w:tc>
      </w:tr>
      <w:tr>
        <w:trPr>
          <w:trHeight w:val="237"/>
        </w:trPr>
        <w:tc>
          <w:tcPr>
            <w:tcW w:w="84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1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279</w:t>
            </w:r>
          </w:p>
        </w:tc>
        <w:tc>
          <w:tcPr>
            <w:tcW w:w="36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737</w:t>
            </w:r>
          </w:p>
        </w:tc>
      </w:tr>
      <w:tr>
        <w:trPr>
          <w:trHeight w:val="235"/>
        </w:trPr>
        <w:tc>
          <w:tcPr>
            <w:tcW w:w="8480" w:type="dxa"/>
            <w:vAlign w:val="bottom"/>
          </w:tcPr>
          <w:p>
            <w:pPr>
              <w:spacing w:after="0"/>
              <w:rPr>
                <w:sz w:val="20"/>
                <w:szCs w:val="20"/>
                <w:color w:val="auto"/>
              </w:rPr>
            </w:pPr>
            <w:r>
              <w:rPr>
                <w:rFonts w:ascii="Arial" w:cs="Arial" w:eastAsia="Arial" w:hAnsi="Arial"/>
                <w:sz w:val="18"/>
                <w:szCs w:val="18"/>
                <w:color w:val="auto"/>
              </w:rPr>
              <w:t>Interest expense on: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1"/>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w:t>
            </w:r>
          </w:p>
        </w:tc>
      </w:tr>
      <w:tr>
        <w:trPr>
          <w:trHeight w:val="235"/>
        </w:trPr>
        <w:tc>
          <w:tcPr>
            <w:tcW w:w="848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1"/>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w:t>
            </w:r>
          </w:p>
        </w:tc>
        <w:tc>
          <w:tcPr>
            <w:tcW w:w="3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4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Other time deposits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4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66</w:t>
            </w:r>
          </w:p>
        </w:tc>
      </w:tr>
      <w:tr>
        <w:trPr>
          <w:trHeight w:val="228"/>
        </w:trPr>
        <w:tc>
          <w:tcPr>
            <w:tcW w:w="8480" w:type="dxa"/>
            <w:vAlign w:val="bottom"/>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260" w:hanging="252"/>
        <w:spacing w:after="0" w:line="22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jc w:val="center"/>
              <w:ind w:right="12"/>
              <w:spacing w:after="0"/>
              <w:rPr>
                <w:sz w:val="20"/>
                <w:szCs w:val="20"/>
                <w:color w:val="auto"/>
              </w:rPr>
            </w:pPr>
            <w:r>
              <w:rPr>
                <w:rFonts w:ascii="Arial" w:cs="Arial" w:eastAsia="Arial" w:hAnsi="Arial"/>
                <w:sz w:val="18"/>
                <w:szCs w:val="18"/>
                <w:b w:val="1"/>
                <w:bCs w:val="1"/>
                <w:color w:val="auto"/>
                <w:w w:val="89"/>
              </w:rPr>
              <w:t>Nine Months Ended 2017 Over</w:t>
            </w:r>
          </w:p>
        </w:tc>
      </w:tr>
      <w:tr>
        <w:trPr>
          <w:trHeight w:val="266"/>
        </w:trPr>
        <w:tc>
          <w:tcPr>
            <w:tcW w:w="84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5"/>
          </w:tcPr>
          <w:p>
            <w:pPr>
              <w:jc w:val="center"/>
              <w:ind w:right="32"/>
              <w:spacing w:after="0"/>
              <w:rPr>
                <w:sz w:val="20"/>
                <w:szCs w:val="20"/>
                <w:color w:val="auto"/>
              </w:rPr>
            </w:pPr>
            <w:r>
              <w:rPr>
                <w:rFonts w:ascii="Arial" w:cs="Arial" w:eastAsia="Arial" w:hAnsi="Arial"/>
                <w:sz w:val="18"/>
                <w:szCs w:val="18"/>
                <w:b w:val="1"/>
                <w:bCs w:val="1"/>
                <w:color w:val="auto"/>
                <w:w w:val="89"/>
              </w:rPr>
              <w:t>Nine Months Ended 2016</w:t>
            </w:r>
          </w:p>
        </w:tc>
      </w:tr>
      <w:tr>
        <w:trPr>
          <w:trHeight w:val="250"/>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Volume</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2"/>
              </w:rPr>
              <w:t>Rate</w:t>
            </w: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Total</w:t>
            </w: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r>
      <w:tr>
        <w:trPr>
          <w:trHeight w:val="311"/>
        </w:trPr>
        <w:tc>
          <w:tcPr>
            <w:tcW w:w="848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84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w:t>
            </w:r>
          </w:p>
        </w:tc>
      </w:tr>
      <w:tr>
        <w:trPr>
          <w:trHeight w:val="311"/>
        </w:trPr>
        <w:tc>
          <w:tcPr>
            <w:tcW w:w="848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43"/>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r>
      <w:tr>
        <w:trPr>
          <w:trHeight w:val="235"/>
        </w:trPr>
        <w:tc>
          <w:tcPr>
            <w:tcW w:w="8480" w:type="dxa"/>
            <w:vAlign w:val="bottom"/>
          </w:tcPr>
          <w:p>
            <w:pPr>
              <w:ind w:left="540"/>
              <w:spacing w:after="0"/>
              <w:rPr>
                <w:sz w:val="20"/>
                <w:szCs w:val="20"/>
                <w:color w:val="auto"/>
              </w:rPr>
            </w:pPr>
            <w:r>
              <w:rPr>
                <w:rFonts w:ascii="Arial" w:cs="Arial" w:eastAsia="Arial" w:hAnsi="Arial"/>
                <w:sz w:val="18"/>
                <w:szCs w:val="18"/>
                <w:color w:val="auto"/>
              </w:rPr>
              <w:t>Taxable</w:t>
            </w:r>
          </w:p>
        </w:tc>
        <w:tc>
          <w:tcPr>
            <w:tcW w:w="12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318"/>
        </w:trPr>
        <w:tc>
          <w:tcPr>
            <w:tcW w:w="848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2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1,799</w:t>
            </w:r>
          </w:p>
        </w:tc>
        <w:tc>
          <w:tcPr>
            <w:tcW w:w="300" w:type="dxa"/>
            <w:vAlign w:val="bottom"/>
            <w:shd w:val="clear" w:color="auto" w:fill="C0C0C0"/>
          </w:tcPr>
          <w:p>
            <w:pPr>
              <w:spacing w:after="0"/>
              <w:rPr>
                <w:sz w:val="24"/>
                <w:szCs w:val="24"/>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(803)</w:t>
            </w:r>
          </w:p>
        </w:tc>
        <w:tc>
          <w:tcPr>
            <w:tcW w:w="320" w:type="dxa"/>
            <w:vAlign w:val="bottom"/>
            <w:shd w:val="clear" w:color="auto" w:fill="C0C0C0"/>
          </w:tcPr>
          <w:p>
            <w:pPr>
              <w:spacing w:after="0"/>
              <w:rPr>
                <w:sz w:val="24"/>
                <w:szCs w:val="24"/>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996</w:t>
            </w:r>
          </w:p>
        </w:tc>
      </w:tr>
      <w:tr>
        <w:trPr>
          <w:trHeight w:val="235"/>
        </w:trPr>
        <w:tc>
          <w:tcPr>
            <w:tcW w:w="848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219</w:t>
            </w:r>
          </w:p>
        </w:tc>
      </w:tr>
      <w:tr>
        <w:trPr>
          <w:trHeight w:val="237"/>
        </w:trPr>
        <w:tc>
          <w:tcPr>
            <w:tcW w:w="84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603</w:t>
            </w:r>
          </w:p>
        </w:tc>
      </w:tr>
      <w:tr>
        <w:trPr>
          <w:trHeight w:val="237"/>
        </w:trPr>
        <w:tc>
          <w:tcPr>
            <w:tcW w:w="84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1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1,323</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71</w:t>
            </w:r>
          </w:p>
        </w:tc>
        <w:tc>
          <w:tcPr>
            <w:tcW w:w="32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1,394</w:t>
            </w:r>
          </w:p>
        </w:tc>
      </w:tr>
      <w:tr>
        <w:trPr>
          <w:trHeight w:val="235"/>
        </w:trPr>
        <w:tc>
          <w:tcPr>
            <w:tcW w:w="8480" w:type="dxa"/>
            <w:vAlign w:val="bottom"/>
          </w:tcPr>
          <w:p>
            <w:pPr>
              <w:spacing w:after="0"/>
              <w:rPr>
                <w:sz w:val="20"/>
                <w:szCs w:val="20"/>
                <w:color w:val="auto"/>
              </w:rPr>
            </w:pPr>
            <w:r>
              <w:rPr>
                <w:rFonts w:ascii="Arial" w:cs="Arial" w:eastAsia="Arial" w:hAnsi="Arial"/>
                <w:sz w:val="18"/>
                <w:szCs w:val="18"/>
                <w:color w:val="auto"/>
              </w:rPr>
              <w:t>Interest expense on: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w:t>
            </w:r>
          </w:p>
        </w:tc>
      </w:tr>
      <w:tr>
        <w:trPr>
          <w:trHeight w:val="235"/>
        </w:trPr>
        <w:tc>
          <w:tcPr>
            <w:tcW w:w="848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1"/>
        </w:trPr>
        <w:tc>
          <w:tcPr>
            <w:tcW w:w="8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4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Other time deposits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84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130</w:t>
            </w:r>
          </w:p>
        </w:tc>
        <w:tc>
          <w:tcPr>
            <w:tcW w:w="32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480" w:type="dxa"/>
            <w:vAlign w:val="bottom"/>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1,454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260" w:hanging="252"/>
        <w:spacing w:after="0" w:line="221"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significant determinant of the Company’s operating results can be the provision for loan losses. There was no provision for loan losses during the Third Quarter of 2017 or the Third Quarter of 2016. There was no loan loss provision recorded during the Nine Months Ended 2017 and a negative loan loss provision of $1,000,000 was recorded during the Nine Months Ended 2016. As discussed below, the Company continually analyzes the outstanding loan portfolio based on the performance, financial condition and collateralization of the credits. Net loan recoveries were $6,000 and $1,000 during the Third Quarter of 2017 and the Third Quarter of 2016, respectively. Net loan recoveries were $27,000 in the Nine Months Ended 2017 and $38,000 during the Nine Months Ended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674"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8"/>
          <w:szCs w:val="18"/>
          <w:color w:val="auto"/>
        </w:rPr>
        <w:t>The ALLL at September 30, 2017 was $10,202,000 and at December 31, 2016 was $10,175,000. The ratio of ALLL to total loans outstanding at September 30, 2017 was 1.55% compared to 1.53% at December 31, 2016. Nonperforming loans were $215,000, or .03% of total loans, at September 30, 2017 compared to $245,000, or .04% of total loans, at December 31, 2016. This consists of one nonaccrual loan, which is also considered impaired, at September 30, 2017. Total nonaccrual loans decreased $30,000 from December 31, 2016 to September 30, 2017.</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Asset Quality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loan losses and analysis of the ALLL:</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8"/>
                <w:szCs w:val="18"/>
                <w:b w:val="1"/>
                <w:bCs w:val="1"/>
                <w:color w:val="auto"/>
              </w:rPr>
              <w:t>Third Quarter of</w:t>
            </w: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r>
      <w:tr>
        <w:trPr>
          <w:trHeight w:val="243"/>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period</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10,196</w:t>
            </w:r>
          </w:p>
        </w:tc>
        <w:tc>
          <w:tcPr>
            <w:tcW w:w="3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10,672</w:t>
            </w:r>
          </w:p>
        </w:tc>
        <w:tc>
          <w:tcPr>
            <w:tcW w:w="3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10,175</w:t>
            </w:r>
          </w:p>
        </w:tc>
        <w:tc>
          <w:tcPr>
            <w:tcW w:w="3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11,635</w:t>
            </w:r>
          </w:p>
        </w:tc>
      </w:tr>
      <w:tr>
        <w:trPr>
          <w:trHeight w:val="235"/>
        </w:trPr>
        <w:tc>
          <w:tcPr>
            <w:tcW w:w="618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220" w:type="dxa"/>
            <w:vAlign w:val="bottom"/>
          </w:tcPr>
          <w:p>
            <w:pPr>
              <w:spacing w:after="0"/>
              <w:rPr>
                <w:sz w:val="20"/>
                <w:szCs w:val="20"/>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51"/>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charged off</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Recoveries on loans previously charged off</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w:t>
            </w:r>
          </w:p>
        </w:tc>
      </w:tr>
      <w:tr>
        <w:trPr>
          <w:trHeight w:val="243"/>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Net recoveries</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w:t>
            </w:r>
          </w:p>
        </w:tc>
        <w:tc>
          <w:tcPr>
            <w:tcW w:w="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w:t>
            </w:r>
          </w:p>
        </w:tc>
      </w:tr>
      <w:tr>
        <w:trPr>
          <w:trHeight w:val="237"/>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period</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10,202</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10,673</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10,202</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10,673</w:t>
            </w:r>
          </w:p>
        </w:tc>
      </w:tr>
      <w:tr>
        <w:trPr>
          <w:trHeight w:val="243"/>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180" w:type="dxa"/>
            <w:vAlign w:val="bottom"/>
          </w:tcPr>
          <w:p>
            <w:pPr>
              <w:ind w:left="280"/>
              <w:spacing w:after="0"/>
              <w:rPr>
                <w:sz w:val="20"/>
                <w:szCs w:val="20"/>
                <w:color w:val="auto"/>
              </w:rPr>
            </w:pPr>
            <w:r>
              <w:rPr>
                <w:rFonts w:ascii="Arial" w:cs="Arial" w:eastAsia="Arial" w:hAnsi="Arial"/>
                <w:sz w:val="18"/>
                <w:szCs w:val="18"/>
                <w:color w:val="auto"/>
              </w:rPr>
              <w:t>Average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660,189</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682,408</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661,588</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679,952</w:t>
            </w:r>
          </w:p>
        </w:tc>
      </w:tr>
      <w:tr>
        <w:trPr>
          <w:trHeight w:val="251"/>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September 30</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658,090</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684,874</w:t>
            </w:r>
          </w:p>
        </w:tc>
        <w:tc>
          <w:tcPr>
            <w:tcW w:w="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658,090</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684,874</w:t>
            </w:r>
          </w:p>
        </w:tc>
      </w:tr>
      <w:tr>
        <w:trPr>
          <w:trHeight w:val="235"/>
        </w:trPr>
        <w:tc>
          <w:tcPr>
            <w:tcW w:w="6180" w:type="dxa"/>
            <w:vAlign w:val="bottom"/>
          </w:tcPr>
          <w:p>
            <w:pPr>
              <w:spacing w:after="0"/>
              <w:rPr>
                <w:sz w:val="20"/>
                <w:szCs w:val="20"/>
                <w:color w:val="auto"/>
              </w:rPr>
            </w:pPr>
            <w:r>
              <w:rPr>
                <w:rFonts w:ascii="Arial" w:cs="Arial" w:eastAsia="Arial" w:hAnsi="Arial"/>
                <w:sz w:val="18"/>
                <w:szCs w:val="18"/>
                <w:color w:val="auto"/>
              </w:rPr>
              <w:t>Ratio of ALLL to loans outstanding:</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Average</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1.57%</w:t>
            </w:r>
          </w:p>
        </w:tc>
      </w:tr>
      <w:tr>
        <w:trPr>
          <w:trHeight w:val="235"/>
        </w:trPr>
        <w:tc>
          <w:tcPr>
            <w:tcW w:w="6180" w:type="dxa"/>
            <w:vAlign w:val="bottom"/>
          </w:tcPr>
          <w:p>
            <w:pPr>
              <w:ind w:left="28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51"/>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Impaired loans:</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180" w:type="dxa"/>
            <w:vAlign w:val="bottom"/>
          </w:tcPr>
          <w:p>
            <w:pPr>
              <w:ind w:left="280"/>
              <w:spacing w:after="0"/>
              <w:rPr>
                <w:sz w:val="20"/>
                <w:szCs w:val="20"/>
                <w:color w:val="auto"/>
              </w:rPr>
            </w:pPr>
            <w:r>
              <w:rPr>
                <w:rFonts w:ascii="Arial" w:cs="Arial" w:eastAsia="Arial" w:hAnsi="Arial"/>
                <w:sz w:val="18"/>
                <w:szCs w:val="18"/>
                <w:color w:val="auto"/>
              </w:rPr>
              <w:t>Nonaccrual loans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215</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340</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215</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340</w:t>
            </w:r>
          </w:p>
        </w:tc>
      </w:tr>
      <w:tr>
        <w:trPr>
          <w:trHeight w:val="251"/>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past due 90 days or more</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984</w:t>
            </w:r>
          </w:p>
        </w:tc>
        <w:tc>
          <w:tcPr>
            <w:tcW w:w="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984</w:t>
            </w:r>
          </w:p>
        </w:tc>
      </w:tr>
      <w:tr>
        <w:trPr>
          <w:trHeight w:val="237"/>
        </w:trPr>
        <w:tc>
          <w:tcPr>
            <w:tcW w:w="6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Troubled debt restructurings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impaired loans</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1,324</w:t>
            </w:r>
          </w:p>
        </w:tc>
        <w:tc>
          <w:tcPr>
            <w:tcW w:w="3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1,324</w:t>
            </w:r>
          </w:p>
        </w:tc>
      </w:tr>
      <w:tr>
        <w:trPr>
          <w:trHeight w:val="237"/>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Foreclosed assets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Impaired loans as percentage of average loans</w:t>
            </w:r>
          </w:p>
        </w:tc>
        <w:tc>
          <w:tcPr>
            <w:tcW w:w="22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September 30, 2017 or December 31, 2016.</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for the Third Quarter of 2017 were up 6.3%, or $1,491,000, compared to the Third Quarter of 2016 and were up $4,735,000 for the Nine Months Ended 2017 compared to the Nine Months Ended 2016.</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expense for the Third Quarter of 2017 increased $1,104,000 compared to the Third Quarter of 2016 and increased $3,117,000 to $57,384,000 for the Nine Months Ended 2017 compared to the Nine Months Ended 2016 due to strategic investment in staff and technology to win and support new business, annual merit increases, and increased retirement plan costs.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Equipment expense for the Third Quarter of 2017 increased $118,000, or 10.5%, compared to the Third Quarter of 2016 and increased $457,000, or 13.9%, for the Nine Months Ended 2017 from the Nine Months Ended 2016. This increase was the result of the continued strategic investment in technology.</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Income tax expense for the Third Quarter of 2017 increased $541,000 compared to the Third Quarter of 2016 and increased $399,000 for the Nine Months Ended 2017 compared to the Nine Months Ended 2016. The effective tax rate was 25.9% and 23.0% for the Third Quarters of 2017 and 2016, respectively, and was 24.3% and 24.8% for the Nine Months Ended 2017 and 2016, respectively. The increase in Third Quarter of 2017 tax rate was the result of higher credits for investment in technology recorded last year. The decrease in the Nine Months Ended 2017 tax rate was the result of the adoption of ASU No. 2016-09 – Stock Compensation (Topic 718): Improvements to Employee Share-Based Payment Accounting.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assets at September 30, 2017 were $1,556,750,000, an increase of $51,911,000, or 3.4%, from December 31, 2016. The most significant changes in asset balances during this period were increases of $66,516,000 in investment securities and payments in excess of funding of $14,455,000. This was partially offset by a decrease in cash and cash equivalents of $24,645,000. Changes in cash and cash equivalents reflect the Company’s daily liquidity position and are affected by the changes in the other asset balances and changes in deposit and accounts and drafts payable balances.</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Total liabilities at September 30, 2017 were $1,332,795,000, an increase of $35,991,000, or 2.8%, from December 31, 2016. Accounts and drafts payable at September 30, 2017 were $687,233,000, an increase of $44,946,000, or 7.0%, from December 31, 2016. Total deposits decreased $12,731,000, or 2.0%, from December 31, 2016. Total shareholders’ equity at September 30, 2017 was $223,955,000, a $15,920,000, or 7.7%, increase from December 31, 2016.</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shareholders’ equity of $15,920,000 resulted primarily from net income of $19,683,000 and a decrease of $5,326,000 in accumulated other comprehensive loss. These were offset by dividends paid of $7,725,000 and an increase in common shares in treasury of $1,961,000 resulting from treasury stock repurchases.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other short-term investments, was $242,098,000 at September 30, 2017, a decrease of $24,645,000, or 9.2%, from December 31, 2016. At September 30, 2017, these assets represented 15.6% of total assets. These funds are the Company’s and its subsidiaries’ primary source of liquidity to meet future expected and unexpected loan demand, depositor withdrawals or reductions in accounts and drafts payable.</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$457,068,000 at September 30, 2017, an increase of $66,516,000 from December 31, 2016. These assets represented 29.4% of total assets at September 30, 2017. Of this total, 91% were state and political subdivision securities. Of the total portfolio, 4.9% mature in one year or less, 12.6% mature in one to five years, and 82.5% mature in five or more years</w:t>
      </w:r>
      <w:r>
        <w:rPr>
          <w:rFonts w:ascii="Arial" w:cs="Arial" w:eastAsia="Arial" w:hAnsi="Arial"/>
          <w:sz w:val="16"/>
          <w:szCs w:val="16"/>
          <w:i w:val="1"/>
          <w:iCs w:val="1"/>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spacing w:after="0" w:line="294"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$68,000,000 at the following banks: US Bank, $20,000,000; Wells Fargo Bank, $15,000,000; Frost National Bank, $10,000,000; PNC Bank, $12,000,000; UMB Bank, $5,000,000; and JPM Chase Bank, $6,000,000. The Bank also has secured lines of credit with the Federal Home Loan Bank of $211,513,000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September 30, 2017 or December 31, 2016.</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$28,858,000 of CDARS deposits and interest-bearing demand deposits include $84,763,000 of ICS deposits. These programs offer the Bank’s customers the ability to maximize Federal Deposit Insurance Corporation (“FDIC”) insurance coverage. The Company uses these programs to retain or attract deposits from existing customers.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flows provided by operating activities were $27,936,000 for the Nine Months Ended 2017 compared with $25,615,000 for the Nine Months ended 2016, an increase of $2,321,000.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2017, which are estimated to range from $5 million to $7 million.</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institutions like Cass, that have exercised an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establishing the minimum regulatory capital requirements, the Basel III Capital Rules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capital conservation buffer requirement is being phased in beginning January 1, 2016 at 0.625% of risk-weighted assets and increasing each year until fully implemented at 2.5% on January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w w:val="96"/>
              </w:rPr>
              <w:t>September 30, 2017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w w:val="97"/>
              </w:rPr>
              <w:t>December 31, 2016</w:t>
            </w:r>
          </w:p>
        </w:tc>
      </w:tr>
      <w:tr>
        <w:trPr>
          <w:trHeight w:val="237"/>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1"/>
              </w:rPr>
              <w:t>Amount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Ratio</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1"/>
              </w:rPr>
              <w:t>Amount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Ratio</w:t>
            </w:r>
          </w:p>
        </w:tc>
      </w:tr>
      <w:tr>
        <w:trPr>
          <w:trHeight w:val="243"/>
        </w:trPr>
        <w:tc>
          <w:tcPr>
            <w:tcW w:w="704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704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229,044</w:t>
            </w:r>
          </w:p>
        </w:tc>
        <w:tc>
          <w:tcPr>
            <w:tcW w:w="880" w:type="dxa"/>
            <w:vAlign w:val="bottom"/>
          </w:tcPr>
          <w:p>
            <w:pPr>
              <w:jc w:val="right"/>
              <w:spacing w:after="0"/>
              <w:rPr>
                <w:sz w:val="20"/>
                <w:szCs w:val="20"/>
                <w:color w:val="auto"/>
              </w:rPr>
            </w:pPr>
            <w:r>
              <w:rPr>
                <w:rFonts w:ascii="Arial" w:cs="Arial" w:eastAsia="Arial" w:hAnsi="Arial"/>
                <w:sz w:val="18"/>
                <w:szCs w:val="18"/>
                <w:color w:val="auto"/>
              </w:rPr>
              <w:t>22.97%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219,747</w:t>
            </w:r>
          </w:p>
        </w:tc>
        <w:tc>
          <w:tcPr>
            <w:tcW w:w="88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51"/>
        </w:trPr>
        <w:tc>
          <w:tcPr>
            <w:tcW w:w="7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118,295</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17.13%</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110,576</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16.72%</w:t>
            </w:r>
          </w:p>
        </w:tc>
      </w:tr>
      <w:tr>
        <w:trPr>
          <w:trHeight w:val="235"/>
        </w:trPr>
        <w:tc>
          <w:tcPr>
            <w:tcW w:w="704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7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218,842</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21.95%</w:t>
            </w:r>
          </w:p>
        </w:tc>
        <w:tc>
          <w:tcPr>
            <w:tcW w:w="4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209,572</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21.70%</w:t>
            </w:r>
          </w:p>
        </w:tc>
      </w:tr>
      <w:tr>
        <w:trPr>
          <w:trHeight w:val="235"/>
        </w:trPr>
        <w:tc>
          <w:tcPr>
            <w:tcW w:w="704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Pr>
          <w:p>
            <w:pPr>
              <w:spacing w:after="0"/>
              <w:rPr>
                <w:sz w:val="20"/>
                <w:szCs w:val="20"/>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110,461</w:t>
            </w:r>
          </w:p>
        </w:tc>
        <w:tc>
          <w:tcPr>
            <w:tcW w:w="880" w:type="dxa"/>
            <w:vAlign w:val="bottom"/>
          </w:tcPr>
          <w:p>
            <w:pPr>
              <w:jc w:val="right"/>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102,769</w:t>
            </w:r>
          </w:p>
        </w:tc>
        <w:tc>
          <w:tcPr>
            <w:tcW w:w="88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51"/>
        </w:trPr>
        <w:tc>
          <w:tcPr>
            <w:tcW w:w="704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704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218,842</w:t>
            </w:r>
          </w:p>
        </w:tc>
        <w:tc>
          <w:tcPr>
            <w:tcW w:w="880" w:type="dxa"/>
            <w:vAlign w:val="bottom"/>
          </w:tcPr>
          <w:p>
            <w:pPr>
              <w:jc w:val="right"/>
              <w:spacing w:after="0"/>
              <w:rPr>
                <w:sz w:val="20"/>
                <w:szCs w:val="20"/>
                <w:color w:val="auto"/>
              </w:rPr>
            </w:pPr>
            <w:r>
              <w:rPr>
                <w:rFonts w:ascii="Arial" w:cs="Arial" w:eastAsia="Arial" w:hAnsi="Arial"/>
                <w:sz w:val="18"/>
                <w:szCs w:val="18"/>
                <w:color w:val="auto"/>
              </w:rPr>
              <w:t>21.95%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209,572</w:t>
            </w:r>
          </w:p>
        </w:tc>
        <w:tc>
          <w:tcPr>
            <w:tcW w:w="88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51"/>
        </w:trPr>
        <w:tc>
          <w:tcPr>
            <w:tcW w:w="7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110,461</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102,769</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15.54%</w:t>
            </w:r>
          </w:p>
        </w:tc>
      </w:tr>
      <w:tr>
        <w:trPr>
          <w:trHeight w:val="235"/>
        </w:trPr>
        <w:tc>
          <w:tcPr>
            <w:tcW w:w="704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7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218,842</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13.80%</w:t>
            </w:r>
          </w:p>
        </w:tc>
        <w:tc>
          <w:tcPr>
            <w:tcW w:w="4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209,572</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13.83%</w:t>
            </w:r>
          </w:p>
        </w:tc>
      </w:tr>
      <w:tr>
        <w:trPr>
          <w:trHeight w:val="237"/>
        </w:trPr>
        <w:tc>
          <w:tcPr>
            <w:tcW w:w="7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110,461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102,769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24, 2017, the Company’s board of directors declared a 10% common stock dividend payable on December 15, 2017 to shareholders of record on December 5, 2017. Shareholders will receive one additional share of Cass common stock for each 10 shares of common stock owned. No fractional shares will be issued. Shareholders will receive cash for any fractional shares owned based on the share price reported by the Nasdaq Stock Market at the close of trading on December 5, 2017.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on October 24, 2017, the Company’s board of directors declared a fourth quarter cash dividend of $0.24 per share payable on December 15, 2017 to shareholders of record on December 5, 2017. The cash dividend will apply to all shares of common stock held after the 10% common stock dividend is completed.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No. 2014-09 – Revenue from Contracts with Customers. The ASU supersedes revenue recognition requirements in Topic 605, Revenue Recognition, including most industry-specific revenue recognition guidance in the FASB ASC.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guidance identifies specific steps that entities should apply in order to achieve this principle. Under the ASU, the amendments are effective for interim and annual periods beginning January 1, 2018 and must be applied retrospectively. The impact of the adoption of this ASU is currently being evaluated but is not expected to have a material impact on the Company’s consolidated financial statements or results of operations.</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2016, the FASB issued ASU No. 2016-02 – Leases (ASC Topic 842).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The impact of the adoption of this ASU is currently being evaluated but is not expected to have a material impact on the Company’s consolidated financial statements or results of operations.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FASB issued ASU No. 2016-13 - Financial Instruments—Credit Losses (Topic 326): Measurement of Credit Losses on Financial Instruments.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the Company’s Annual Report on Form 10-K for the year ended December 31, 2016,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15.0% from an immediate and sustained parallel change in interest rates of 200 basis points. Based on the Company’s most recent evaluation, management does not believe the Company’s risk position at September 30, 2017 has changed materially from that at December 31, 2016.</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were no changes in the Third Quarter of 2017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tabs>
          <w:tab w:leader="none" w:pos="90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1"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9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The Company has included in Part I, Item 1A of its Annual Report on Form 10-K for the year ended December 31, 2016, a description of certain risks and uncertainties that could affect the Company’s business, future performance or financial condition (the “Risk Factors”). There are no material changes to the Risk Factors as disclosed in the Company’s 2016 Annual Report on Form 10-K.</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1" w:lineRule="exact"/>
        <w:rPr>
          <w:sz w:val="20"/>
          <w:szCs w:val="20"/>
          <w:color w:val="auto"/>
        </w:rPr>
      </w:pPr>
    </w:p>
    <w:p>
      <w:pPr>
        <w:jc w:val="both"/>
        <w:ind w:left="920" w:right="20"/>
        <w:spacing w:after="0" w:line="261" w:lineRule="auto"/>
        <w:rPr>
          <w:sz w:val="20"/>
          <w:szCs w:val="20"/>
          <w:color w:val="auto"/>
        </w:rPr>
      </w:pPr>
      <w:r>
        <w:rPr>
          <w:rFonts w:ascii="Arial" w:cs="Arial" w:eastAsia="Arial" w:hAnsi="Arial"/>
          <w:sz w:val="18"/>
          <w:szCs w:val="18"/>
          <w:color w:val="auto"/>
        </w:rPr>
        <w:t>During the three months ended September 30, 2017, the Company repurchased a total of 38,042 shares of its common stock pursuant to its treasury stock buyback program, as follows:</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40" w:type="dxa"/>
            <w:vAlign w:val="bottom"/>
          </w:tcPr>
          <w:p>
            <w:pPr>
              <w:jc w:val="center"/>
              <w:ind w:left="92"/>
              <w:spacing w:after="0"/>
              <w:rPr>
                <w:sz w:val="20"/>
                <w:szCs w:val="20"/>
                <w:color w:val="auto"/>
              </w:rPr>
            </w:pPr>
            <w:r>
              <w:rPr>
                <w:rFonts w:ascii="Arial" w:cs="Arial" w:eastAsia="Arial" w:hAnsi="Arial"/>
                <w:sz w:val="18"/>
                <w:szCs w:val="18"/>
                <w:b w:val="1"/>
                <w:bCs w:val="1"/>
                <w:color w:val="auto"/>
                <w:w w:val="93"/>
              </w:rPr>
              <w:t>Maximum</w:t>
            </w:r>
          </w:p>
        </w:tc>
      </w:tr>
      <w:tr>
        <w:trPr>
          <w:trHeight w:val="243"/>
        </w:trPr>
        <w:tc>
          <w:tcPr>
            <w:tcW w:w="5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88"/>
              </w:rPr>
              <w:t>Number of</w:t>
            </w:r>
          </w:p>
        </w:tc>
      </w:tr>
      <w:tr>
        <w:trPr>
          <w:trHeight w:val="243"/>
        </w:trPr>
        <w:tc>
          <w:tcPr>
            <w:tcW w:w="5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3"/>
              </w:rPr>
              <w:t>Purchased as</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85"/>
              </w:rPr>
              <w:t>Shares that</w:t>
            </w:r>
          </w:p>
        </w:tc>
      </w:tr>
      <w:tr>
        <w:trPr>
          <w:trHeight w:val="243"/>
        </w:trPr>
        <w:tc>
          <w:tcPr>
            <w:tcW w:w="5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Part of</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91"/>
              </w:rPr>
              <w:t>May Yet Be</w:t>
            </w:r>
          </w:p>
        </w:tc>
      </w:tr>
      <w:tr>
        <w:trPr>
          <w:trHeight w:val="243"/>
        </w:trPr>
        <w:tc>
          <w:tcPr>
            <w:tcW w:w="5400" w:type="dxa"/>
            <w:vAlign w:val="bottom"/>
          </w:tcPr>
          <w:p>
            <w:pPr>
              <w:spacing w:after="0"/>
              <w:rPr>
                <w:sz w:val="21"/>
                <w:szCs w:val="21"/>
                <w:color w:val="auto"/>
              </w:rPr>
            </w:pPr>
          </w:p>
        </w:tc>
        <w:tc>
          <w:tcPr>
            <w:tcW w:w="128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Total</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86"/>
              </w:rPr>
              <w:t>Purchased</w:t>
            </w:r>
          </w:p>
        </w:tc>
      </w:tr>
      <w:tr>
        <w:trPr>
          <w:trHeight w:val="243"/>
        </w:trPr>
        <w:tc>
          <w:tcPr>
            <w:tcW w:w="5400" w:type="dxa"/>
            <w:vAlign w:val="bottom"/>
          </w:tcPr>
          <w:p>
            <w:pPr>
              <w:spacing w:after="0"/>
              <w:rPr>
                <w:sz w:val="21"/>
                <w:szCs w:val="21"/>
                <w:color w:val="auto"/>
              </w:rPr>
            </w:pPr>
          </w:p>
        </w:tc>
        <w:tc>
          <w:tcPr>
            <w:tcW w:w="1280" w:type="dxa"/>
            <w:vAlign w:val="bottom"/>
          </w:tcPr>
          <w:p>
            <w:pPr>
              <w:jc w:val="center"/>
              <w:ind w:left="72"/>
              <w:spacing w:after="0"/>
              <w:rPr>
                <w:sz w:val="20"/>
                <w:szCs w:val="20"/>
                <w:color w:val="auto"/>
              </w:rPr>
            </w:pPr>
            <w:r>
              <w:rPr>
                <w:rFonts w:ascii="Arial" w:cs="Arial" w:eastAsia="Arial" w:hAnsi="Arial"/>
                <w:sz w:val="18"/>
                <w:szCs w:val="18"/>
                <w:b w:val="1"/>
                <w:bCs w:val="1"/>
                <w:color w:val="auto"/>
                <w:w w:val="88"/>
              </w:rPr>
              <w:t>Number of</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90"/>
              </w:rPr>
              <w:t>Under the</w:t>
            </w:r>
          </w:p>
        </w:tc>
      </w:tr>
      <w:tr>
        <w:trPr>
          <w:trHeight w:val="243"/>
        </w:trPr>
        <w:tc>
          <w:tcPr>
            <w:tcW w:w="5400" w:type="dxa"/>
            <w:vAlign w:val="bottom"/>
          </w:tcPr>
          <w:p>
            <w:pPr>
              <w:spacing w:after="0"/>
              <w:rPr>
                <w:sz w:val="21"/>
                <w:szCs w:val="21"/>
                <w:color w:val="auto"/>
              </w:rPr>
            </w:pPr>
          </w:p>
        </w:tc>
        <w:tc>
          <w:tcPr>
            <w:tcW w:w="1280" w:type="dxa"/>
            <w:vAlign w:val="bottom"/>
          </w:tcPr>
          <w:p>
            <w:pPr>
              <w:jc w:val="center"/>
              <w:ind w:left="52"/>
              <w:spacing w:after="0"/>
              <w:rPr>
                <w:sz w:val="20"/>
                <w:szCs w:val="20"/>
                <w:color w:val="auto"/>
              </w:rPr>
            </w:pPr>
            <w:r>
              <w:rPr>
                <w:rFonts w:ascii="Arial" w:cs="Arial" w:eastAsia="Arial" w:hAnsi="Arial"/>
                <w:sz w:val="18"/>
                <w:szCs w:val="18"/>
                <w:b w:val="1"/>
                <w:bCs w:val="1"/>
                <w:color w:val="auto"/>
                <w:w w:val="83"/>
              </w:rPr>
              <w:t>Shares</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Average 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04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Plans or</w:t>
            </w:r>
          </w:p>
        </w:tc>
      </w:tr>
      <w:tr>
        <w:trPr>
          <w:trHeight w:val="326"/>
        </w:trPr>
        <w:tc>
          <w:tcPr>
            <w:tcW w:w="540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Period</w:t>
            </w:r>
          </w:p>
        </w:tc>
        <w:tc>
          <w:tcPr>
            <w:tcW w:w="128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86"/>
              </w:rPr>
              <w:t>Purchased</w:t>
            </w: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8"/>
              </w:rPr>
              <w:t>Paid per Share</w:t>
            </w:r>
          </w:p>
        </w:tc>
        <w:tc>
          <w:tcPr>
            <w:tcW w:w="1360" w:type="dxa"/>
            <w:vAlign w:val="bottom"/>
            <w:tcBorders>
              <w:bottom w:val="single" w:sz="8" w:color="auto"/>
            </w:tcBorders>
          </w:tcPr>
          <w:p>
            <w:pPr>
              <w:jc w:val="center"/>
              <w:spacing w:after="0" w:line="326"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9"/>
                <w:szCs w:val="29"/>
                <w:b w:val="1"/>
                <w:bCs w:val="1"/>
                <w:color w:val="auto"/>
                <w:w w:val="86"/>
                <w:vertAlign w:val="superscript"/>
              </w:rPr>
              <w:t>1</w:t>
            </w:r>
          </w:p>
        </w:tc>
        <w:tc>
          <w:tcPr>
            <w:tcW w:w="104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auto"/>
                <w:w w:val="88"/>
              </w:rPr>
              <w:t>Programs</w:t>
            </w:r>
          </w:p>
        </w:tc>
      </w:tr>
      <w:tr>
        <w:trPr>
          <w:trHeight w:val="221"/>
        </w:trPr>
        <w:tc>
          <w:tcPr>
            <w:tcW w:w="5400" w:type="dxa"/>
            <w:vAlign w:val="bottom"/>
            <w:shd w:val="clear" w:color="auto" w:fill="C0C0C0"/>
          </w:tcPr>
          <w:p>
            <w:pPr>
              <w:spacing w:after="0"/>
              <w:rPr>
                <w:sz w:val="20"/>
                <w:szCs w:val="20"/>
                <w:color w:val="auto"/>
              </w:rPr>
            </w:pPr>
            <w:r>
              <w:rPr>
                <w:rFonts w:ascii="Arial" w:cs="Arial" w:eastAsia="Arial" w:hAnsi="Arial"/>
                <w:sz w:val="18"/>
                <w:szCs w:val="18"/>
                <w:color w:val="auto"/>
              </w:rPr>
              <w:t>July 1, 2017 –</w:t>
            </w:r>
          </w:p>
        </w:tc>
        <w:tc>
          <w:tcPr>
            <w:tcW w:w="12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9"/>
                <w:szCs w:val="19"/>
                <w:color w:val="auto"/>
              </w:rPr>
            </w:pPr>
          </w:p>
        </w:tc>
        <w:tc>
          <w:tcPr>
            <w:tcW w:w="8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500,000</w:t>
            </w:r>
          </w:p>
        </w:tc>
      </w:tr>
      <w:tr>
        <w:trPr>
          <w:trHeight w:val="259"/>
        </w:trPr>
        <w:tc>
          <w:tcPr>
            <w:tcW w:w="5400" w:type="dxa"/>
            <w:vAlign w:val="bottom"/>
            <w:shd w:val="clear" w:color="auto" w:fill="C0C0C0"/>
          </w:tcPr>
          <w:p>
            <w:pPr>
              <w:spacing w:after="0"/>
              <w:rPr>
                <w:sz w:val="20"/>
                <w:szCs w:val="20"/>
                <w:color w:val="auto"/>
              </w:rPr>
            </w:pPr>
            <w:r>
              <w:rPr>
                <w:rFonts w:ascii="Arial" w:cs="Arial" w:eastAsia="Arial" w:hAnsi="Arial"/>
                <w:sz w:val="18"/>
                <w:szCs w:val="18"/>
                <w:color w:val="auto"/>
              </w:rPr>
              <w:t>July 31, 2017</w:t>
            </w:r>
          </w:p>
        </w:tc>
        <w:tc>
          <w:tcPr>
            <w:tcW w:w="128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1360" w:type="dxa"/>
            <w:vAlign w:val="bottom"/>
            <w:shd w:val="clear" w:color="auto" w:fill="C0C0C0"/>
          </w:tcPr>
          <w:p>
            <w:pPr>
              <w:spacing w:after="0"/>
              <w:rPr>
                <w:sz w:val="22"/>
                <w:szCs w:val="22"/>
                <w:color w:val="auto"/>
              </w:rPr>
            </w:pPr>
          </w:p>
        </w:tc>
        <w:tc>
          <w:tcPr>
            <w:tcW w:w="1040" w:type="dxa"/>
            <w:vAlign w:val="bottom"/>
            <w:shd w:val="clear" w:color="auto" w:fill="C0C0C0"/>
          </w:tcPr>
          <w:p>
            <w:pPr>
              <w:spacing w:after="0"/>
              <w:rPr>
                <w:sz w:val="22"/>
                <w:szCs w:val="22"/>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8"/>
                <w:szCs w:val="18"/>
                <w:color w:val="auto"/>
              </w:rPr>
              <w:t>August 1, 2017–</w:t>
            </w: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1"/>
        </w:trPr>
        <w:tc>
          <w:tcPr>
            <w:tcW w:w="5400" w:type="dxa"/>
            <w:vAlign w:val="bottom"/>
          </w:tcPr>
          <w:p>
            <w:pPr>
              <w:spacing w:after="0"/>
              <w:rPr>
                <w:sz w:val="20"/>
                <w:szCs w:val="20"/>
                <w:color w:val="auto"/>
              </w:rPr>
            </w:pPr>
            <w:r>
              <w:rPr>
                <w:rFonts w:ascii="Arial" w:cs="Arial" w:eastAsia="Arial" w:hAnsi="Arial"/>
                <w:sz w:val="18"/>
                <w:szCs w:val="18"/>
                <w:color w:val="auto"/>
              </w:rPr>
              <w:t>August 31, 2017</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13,242</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59.80</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13,242</w:t>
            </w:r>
          </w:p>
        </w:tc>
        <w:tc>
          <w:tcPr>
            <w:tcW w:w="1040" w:type="dxa"/>
            <w:vAlign w:val="bottom"/>
          </w:tcPr>
          <w:p>
            <w:pPr>
              <w:jc w:val="right"/>
              <w:spacing w:after="0"/>
              <w:rPr>
                <w:sz w:val="20"/>
                <w:szCs w:val="20"/>
                <w:color w:val="auto"/>
              </w:rPr>
            </w:pPr>
            <w:r>
              <w:rPr>
                <w:rFonts w:ascii="Arial" w:cs="Arial" w:eastAsia="Arial" w:hAnsi="Arial"/>
                <w:sz w:val="18"/>
                <w:szCs w:val="18"/>
                <w:color w:val="auto"/>
              </w:rPr>
              <w:t>486,758</w:t>
            </w:r>
          </w:p>
        </w:tc>
      </w:tr>
      <w:tr>
        <w:trPr>
          <w:trHeight w:val="235"/>
        </w:trPr>
        <w:tc>
          <w:tcPr>
            <w:tcW w:w="5400" w:type="dxa"/>
            <w:vAlign w:val="bottom"/>
            <w:shd w:val="clear" w:color="auto" w:fill="C0C0C0"/>
          </w:tcPr>
          <w:p>
            <w:pPr>
              <w:spacing w:after="0"/>
              <w:rPr>
                <w:sz w:val="20"/>
                <w:szCs w:val="20"/>
                <w:color w:val="auto"/>
              </w:rPr>
            </w:pPr>
            <w:r>
              <w:rPr>
                <w:rFonts w:ascii="Arial" w:cs="Arial" w:eastAsia="Arial" w:hAnsi="Arial"/>
                <w:sz w:val="18"/>
                <w:szCs w:val="18"/>
                <w:color w:val="auto"/>
              </w:rPr>
              <w:t>September 1, 2017 –</w:t>
            </w:r>
          </w:p>
        </w:tc>
        <w:tc>
          <w:tcPr>
            <w:tcW w:w="12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36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r>
      <w:tr>
        <w:trPr>
          <w:trHeight w:val="252"/>
        </w:trPr>
        <w:tc>
          <w:tcPr>
            <w:tcW w:w="54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September 30, 2017</w:t>
            </w:r>
          </w:p>
        </w:tc>
        <w:tc>
          <w:tcPr>
            <w:tcW w:w="12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24,800</w:t>
            </w:r>
          </w:p>
        </w:tc>
        <w:tc>
          <w:tcPr>
            <w:tcW w:w="56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59.59</w:t>
            </w:r>
          </w:p>
        </w:tc>
        <w:tc>
          <w:tcPr>
            <w:tcW w:w="13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24,800</w:t>
            </w: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461,958</w:t>
            </w:r>
          </w:p>
        </w:tc>
      </w:tr>
      <w:tr>
        <w:trPr>
          <w:trHeight w:val="228"/>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38,042</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59.67</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38,042</w:t>
            </w:r>
          </w:p>
        </w:tc>
        <w:tc>
          <w:tcPr>
            <w:tcW w:w="1040" w:type="dxa"/>
            <w:vAlign w:val="bottom"/>
          </w:tcPr>
          <w:p>
            <w:pPr>
              <w:jc w:val="right"/>
              <w:spacing w:after="0"/>
              <w:rPr>
                <w:sz w:val="20"/>
                <w:szCs w:val="20"/>
                <w:color w:val="auto"/>
              </w:rPr>
            </w:pPr>
            <w:r>
              <w:rPr>
                <w:rFonts w:ascii="Arial" w:cs="Arial" w:eastAsia="Arial" w:hAnsi="Arial"/>
                <w:sz w:val="18"/>
                <w:szCs w:val="18"/>
                <w:color w:val="auto"/>
              </w:rPr>
              <w:t>461,958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wp:posOffset>
            </wp:positionV>
            <wp:extent cx="6663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jc w:val="both"/>
        <w:ind w:left="1240" w:hanging="314"/>
        <w:spacing w:after="0" w:line="278" w:lineRule="auto"/>
        <w:tabs>
          <w:tab w:leader="none" w:pos="1240" w:val="left"/>
        </w:tabs>
        <w:numPr>
          <w:ilvl w:val="0"/>
          <w:numId w:val="7"/>
        </w:numPr>
        <w:rPr>
          <w:rFonts w:ascii="Arial" w:cs="Arial" w:eastAsia="Arial" w:hAnsi="Arial"/>
          <w:sz w:val="12"/>
          <w:szCs w:val="12"/>
          <w:color w:val="auto"/>
        </w:rPr>
      </w:pPr>
      <w:r>
        <w:rPr>
          <w:rFonts w:ascii="Arial" w:cs="Arial" w:eastAsia="Arial" w:hAnsi="Arial"/>
          <w:sz w:val="12"/>
          <w:szCs w:val="12"/>
          <w:color w:val="auto"/>
        </w:rPr>
        <w:t>All repurchases made during the quarter ended September 30, 2017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24, 2017 to restore the aggregate number of shares available for repurchase to 500,000.</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OTHER INFORMATION</w:t>
      </w:r>
    </w:p>
    <w:p>
      <w:pPr>
        <w:spacing w:after="0" w:line="42" w:lineRule="exact"/>
        <w:rPr>
          <w:sz w:val="20"/>
          <w:szCs w:val="20"/>
          <w:color w:val="auto"/>
        </w:rPr>
      </w:pPr>
    </w:p>
    <w:p>
      <w:pPr>
        <w:ind w:left="1380" w:hanging="45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5" w:lineRule="exact"/>
        <w:rPr>
          <w:rFonts w:ascii="Arial" w:cs="Arial" w:eastAsia="Arial" w:hAnsi="Arial"/>
          <w:sz w:val="18"/>
          <w:szCs w:val="18"/>
          <w:color w:val="auto"/>
        </w:rPr>
      </w:pPr>
    </w:p>
    <w:p>
      <w:pPr>
        <w:ind w:left="1380" w:hanging="454"/>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Third Quarter of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8"/>
          <w:szCs w:val="18"/>
          <w:b w:val="1"/>
          <w:bCs w:val="1"/>
          <w:color w:val="auto"/>
        </w:rPr>
        <w:t>ITEM 6.</w:t>
        <w:tab/>
        <w:t>EXHIBITS</w:t>
      </w:r>
    </w:p>
    <w:p>
      <w:pPr>
        <w:spacing w:after="0" w:line="285" w:lineRule="exact"/>
        <w:rPr>
          <w:sz w:val="20"/>
          <w:szCs w:val="20"/>
          <w:color w:val="auto"/>
        </w:rPr>
      </w:pPr>
    </w:p>
    <w:p>
      <w:pPr>
        <w:ind w:left="9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 31.1 Certification Pursuant to Section 302 of the Sarbanes-Oxley Act of 2002.</w:t>
        </w:r>
      </w:hyperlink>
    </w:p>
    <w:p>
      <w:pPr>
        <w:spacing w:after="0" w:line="279" w:lineRule="exact"/>
        <w:rPr>
          <w:sz w:val="20"/>
          <w:szCs w:val="20"/>
          <w:color w:val="auto"/>
        </w:rPr>
      </w:pPr>
    </w:p>
    <w:p>
      <w:pPr>
        <w:ind w:left="9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31.2 Certification Pursuant to Section 302 of the Sarbanes-Oxley Act of 2002.</w:t>
        </w:r>
      </w:hyperlink>
    </w:p>
    <w:p>
      <w:pPr>
        <w:spacing w:after="0" w:line="279" w:lineRule="exact"/>
        <w:rPr>
          <w:sz w:val="20"/>
          <w:szCs w:val="20"/>
          <w:color w:val="auto"/>
        </w:rPr>
      </w:pPr>
    </w:p>
    <w:p>
      <w:pPr>
        <w:ind w:left="920"/>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Exhibit 32.1 Certification Pursuant to 18 U.S.C. Section 1350, as Adopted Pursuant to Section 906 of the Sarbanes-Oxley Act of 2002.</w:t>
        </w:r>
      </w:hyperlink>
    </w:p>
    <w:p>
      <w:pPr>
        <w:spacing w:after="0" w:line="314" w:lineRule="exact"/>
        <w:rPr>
          <w:sz w:val="20"/>
          <w:szCs w:val="20"/>
          <w:color w:val="auto"/>
        </w:rPr>
      </w:pPr>
    </w:p>
    <w:p>
      <w:pPr>
        <w:ind w:left="920"/>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Exhibit 32.2 Certification Pursuant to 18 U.S.C. Section 1350, as Adopted Pursuant to Section 906 of the Sarbanes-Oxley Act of 2002.</w:t>
        </w:r>
      </w:hyperlink>
    </w:p>
    <w:p>
      <w:pPr>
        <w:spacing w:after="0" w:line="3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101.INS XBRL Instance Document.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101.SCH XBRL Taxonomy Extension Schema Document.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101.CAL XBRL Taxonomy Extension Calculation Linkbase Document.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101.LAB XBRL Taxonomy Extension Label Linkbase Document.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101.PRE XBRL Taxonomy Extension Presentation Linkbase Document.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101.DEF XBRL Taxonomy Extension Definition Linkbase Document.</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400"/>
          </w:cols>
          <w:pgMar w:left="240" w:top="382" w:right="1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CASS INFORMATION SYSTEMS, INC.</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19685</wp:posOffset>
            </wp:positionV>
            <wp:extent cx="32931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Chairman, President and Chief Executive Officer</w:t>
      </w:r>
    </w:p>
    <w:p>
      <w:pPr>
        <w:spacing w:after="0" w:line="5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19685</wp:posOffset>
            </wp:positionV>
            <wp:extent cx="32931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2">
            <w:col w:w="6240" w:space="720"/>
            <w:col w:w="4460"/>
          </w:cols>
          <w:pgMar w:left="240" w:top="125"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180" w:hanging="172"/>
        <w:spacing w:after="0" w:line="33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180" w:hanging="172"/>
        <w:spacing w:after="0" w:line="259"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80" w:right="20" w:hanging="172"/>
        <w:spacing w:after="0" w:line="33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hanging="236"/>
        <w:spacing w:after="0" w:line="268" w:lineRule="auto"/>
        <w:tabs>
          <w:tab w:leader="none" w:pos="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6"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Chairman, President and Chief Executive</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180" w:hanging="172"/>
        <w:spacing w:after="0" w:line="33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180" w:hanging="172"/>
        <w:spacing w:after="0" w:line="259"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80" w:right="20" w:hanging="172"/>
        <w:spacing w:after="0" w:line="33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hanging="236"/>
        <w:spacing w:after="0" w:line="268"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6"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Executive Vice President and Chief Financial</w:t>
      </w:r>
    </w:p>
    <w:p>
      <w:pPr>
        <w:spacing w:after="0" w:line="5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Cass Information Systems, Inc. (“the Company”) on Form 10-Q for the period ended September 30, 2017 as filed with the Securities and Exchange Commission on the date hereof (the “Report”), I, Eric H. Brunngraber, President and Chief Executive Officer of the Company, certify, pursuant to 18 U.S.C. § 1350, as adopted pursuant to § 906 of the Sarbanes-Oxley Act of 2002, that:</w:t>
      </w:r>
    </w:p>
    <w:p>
      <w:pPr>
        <w:spacing w:after="0" w:line="194" w:lineRule="exact"/>
        <w:rPr>
          <w:sz w:val="20"/>
          <w:szCs w:val="20"/>
          <w:color w:val="auto"/>
        </w:rPr>
      </w:pPr>
    </w:p>
    <w:p>
      <w:pPr>
        <w:ind w:left="620" w:hanging="34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20" w:hanging="342"/>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Chairman, President and Chief Executive</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November 7, 2017</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September 30, 2017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620" w:hanging="342"/>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20" w:hanging="342"/>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Executive Vice President and Chief Financial</w:t>
      </w:r>
    </w:p>
    <w:p>
      <w:pPr>
        <w:spacing w:after="0" w:line="5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(Principal Financial and Accounting Officer)</w:t>
      </w:r>
    </w:p>
    <w:p>
      <w:pPr>
        <w:spacing w:after="0" w:line="5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November 7, 2017</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2019-12-29T03:20:06Z</dcterms:created>
  <dcterms:modified xsi:type="dcterms:W3CDTF">2019-12-29T03:20:06Z</dcterms:modified>
</cp:coreProperties>
</file>