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278765</wp:posOffset>
            </wp:positionV>
            <wp:extent cx="73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8" w:lineRule="exact"/>
        <w:rPr>
          <w:sz w:val="24"/>
          <w:szCs w:val="24"/>
          <w:color w:val="auto"/>
        </w:rPr>
      </w:pPr>
    </w:p>
    <w:p>
      <w:pPr>
        <w:ind w:left="340" w:right="234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290830</wp:posOffset>
            </wp:positionV>
            <wp:extent cx="73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2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1"/>
              </w:rPr>
              <w:t>Missouri</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right"/>
              <w:ind w:right="2470"/>
              <w:spacing w:after="0"/>
              <w:rPr>
                <w:sz w:val="20"/>
                <w:szCs w:val="20"/>
                <w:color w:val="auto"/>
              </w:rPr>
            </w:pPr>
            <w:r>
              <w:rPr>
                <w:rFonts w:ascii="Arial" w:cs="Arial" w:eastAsia="Arial" w:hAnsi="Arial"/>
                <w:sz w:val="18"/>
                <w:szCs w:val="18"/>
                <w:b w:val="1"/>
                <w:bCs w:val="1"/>
                <w:color w:val="auto"/>
              </w:rPr>
              <w:t>43-1265338</w:t>
            </w:r>
          </w:p>
        </w:tc>
      </w:tr>
      <w:tr>
        <w:trPr>
          <w:trHeight w:val="215"/>
        </w:trPr>
        <w:tc>
          <w:tcPr>
            <w:tcW w:w="6680" w:type="dxa"/>
            <w:vAlign w:val="bottom"/>
            <w:gridSpan w:val="5"/>
          </w:tcPr>
          <w:p>
            <w:pPr>
              <w:jc w:val="center"/>
              <w:ind w:right="700"/>
              <w:spacing w:after="0"/>
              <w:rPr>
                <w:sz w:val="20"/>
                <w:szCs w:val="20"/>
                <w:color w:val="auto"/>
              </w:rPr>
            </w:pPr>
            <w:r>
              <w:rPr>
                <w:rFonts w:ascii="Arial" w:cs="Arial" w:eastAsia="Arial" w:hAnsi="Arial"/>
                <w:sz w:val="18"/>
                <w:szCs w:val="18"/>
                <w:color w:val="auto"/>
                <w:w w:val="92"/>
              </w:rPr>
              <w:t>(State or other jurisdiction of incorporation or</w:t>
            </w:r>
          </w:p>
        </w:tc>
        <w:tc>
          <w:tcPr>
            <w:tcW w:w="4560" w:type="dxa"/>
            <w:vAlign w:val="bottom"/>
          </w:tcPr>
          <w:p>
            <w:pPr>
              <w:jc w:val="center"/>
              <w:ind w:right="1330"/>
              <w:spacing w:after="0"/>
              <w:rPr>
                <w:sz w:val="20"/>
                <w:szCs w:val="20"/>
                <w:color w:val="auto"/>
              </w:rPr>
            </w:pPr>
            <w:r>
              <w:rPr>
                <w:rFonts w:ascii="Arial" w:cs="Arial" w:eastAsia="Arial" w:hAnsi="Arial"/>
                <w:sz w:val="18"/>
                <w:szCs w:val="18"/>
                <w:color w:val="auto"/>
                <w:w w:val="94"/>
              </w:rPr>
              <w:t>(I.R.S. Employer Identification No.)</w:t>
            </w:r>
          </w:p>
        </w:tc>
      </w:tr>
      <w:tr>
        <w:trPr>
          <w:trHeight w:val="211"/>
        </w:trPr>
        <w:tc>
          <w:tcPr>
            <w:tcW w:w="4520" w:type="dxa"/>
            <w:vAlign w:val="bottom"/>
            <w:gridSpan w:val="3"/>
          </w:tcPr>
          <w:p>
            <w:pPr>
              <w:jc w:val="center"/>
              <w:ind w:left="1370"/>
              <w:spacing w:after="0"/>
              <w:rPr>
                <w:sz w:val="20"/>
                <w:szCs w:val="20"/>
                <w:color w:val="auto"/>
              </w:rPr>
            </w:pPr>
            <w:r>
              <w:rPr>
                <w:rFonts w:ascii="Arial" w:cs="Arial" w:eastAsia="Arial" w:hAnsi="Arial"/>
                <w:sz w:val="18"/>
                <w:szCs w:val="18"/>
                <w:color w:val="auto"/>
                <w:w w:val="90"/>
              </w:rPr>
              <w:t>organization)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5"/>
        </w:trPr>
        <w:tc>
          <w:tcPr>
            <w:tcW w:w="45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0"/>
              </w:rPr>
              <w:t>12444 Powerscourt Drive, Suite 550</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9"/>
        </w:trPr>
        <w:tc>
          <w:tcPr>
            <w:tcW w:w="45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1"/>
              </w:rPr>
              <w:t>St. Louis, Missouri</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right"/>
              <w:ind w:right="2670"/>
              <w:spacing w:after="0"/>
              <w:rPr>
                <w:sz w:val="20"/>
                <w:szCs w:val="20"/>
                <w:color w:val="auto"/>
              </w:rPr>
            </w:pPr>
            <w:r>
              <w:rPr>
                <w:rFonts w:ascii="Arial" w:cs="Arial" w:eastAsia="Arial" w:hAnsi="Arial"/>
                <w:sz w:val="18"/>
                <w:szCs w:val="18"/>
                <w:b w:val="1"/>
                <w:bCs w:val="1"/>
                <w:color w:val="auto"/>
              </w:rPr>
              <w:t>63131</w:t>
            </w:r>
          </w:p>
        </w:tc>
      </w:tr>
      <w:tr>
        <w:trPr>
          <w:trHeight w:val="230"/>
        </w:trPr>
        <w:tc>
          <w:tcPr>
            <w:tcW w:w="4520" w:type="dxa"/>
            <w:vAlign w:val="bottom"/>
            <w:gridSpan w:val="3"/>
          </w:tcPr>
          <w:p>
            <w:pPr>
              <w:jc w:val="center"/>
              <w:ind w:left="137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ind w:right="1330"/>
              <w:spacing w:after="0"/>
              <w:rPr>
                <w:sz w:val="20"/>
                <w:szCs w:val="20"/>
                <w:color w:val="auto"/>
              </w:rPr>
            </w:pPr>
            <w:r>
              <w:rPr>
                <w:rFonts w:ascii="Arial" w:cs="Arial" w:eastAsia="Arial" w:hAnsi="Arial"/>
                <w:sz w:val="18"/>
                <w:szCs w:val="18"/>
                <w:color w:val="auto"/>
                <w:w w:val="91"/>
              </w:rPr>
              <w:t>(Zip Code)</w:t>
            </w:r>
          </w:p>
        </w:tc>
      </w:tr>
      <w:tr>
        <w:trPr>
          <w:trHeight w:val="309"/>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(314) 506-5500</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36"/>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452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Title of each class</w:t>
            </w: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$.50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3"/>
              </w:rPr>
              <w:t>CASS</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264795</wp:posOffset>
            </wp:positionV>
            <wp:extent cx="735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34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22"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940" w:space="720"/>
            <w:col w:w="7580"/>
          </w:cols>
          <w:pgMar w:left="320" w:top="233" w:right="339" w:bottom="1440" w:gutter="0" w:footer="0" w:header="0"/>
          <w:type w:val="continuous"/>
        </w:sectPr>
      </w:pPr>
    </w:p>
    <w:p>
      <w:pPr>
        <w:spacing w:after="0" w:line="47"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3">
            <w:col w:w="2940" w:space="720"/>
            <w:col w:w="2680" w:space="720"/>
            <w:col w:w="4180"/>
          </w:cols>
          <w:pgMar w:left="320" w:top="233" w:right="339" w:bottom="1440" w:gutter="0" w:footer="0" w:header="0"/>
          <w:type w:val="continuous"/>
        </w:sectPr>
      </w:pPr>
    </w:p>
    <w:p>
      <w:pPr>
        <w:ind w:firstLine="215"/>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ind w:firstLine="215"/>
        <w:spacing w:after="0" w:line="276" w:lineRule="auto"/>
        <w:rPr>
          <w:sz w:val="20"/>
          <w:szCs w:val="20"/>
          <w:color w:val="auto"/>
        </w:rPr>
      </w:pPr>
      <w:r>
        <w:rPr>
          <w:rFonts w:ascii="Arial" w:cs="Arial" w:eastAsia="Arial" w:hAnsi="Arial"/>
          <w:sz w:val="18"/>
          <w:szCs w:val="18"/>
          <w:color w:val="auto"/>
        </w:rPr>
        <w:t>The number of shares outstanding of the registrant's only class of common stock as of April 24, 2020: Common stock, par value $.50 per share – 14,421,724 shares outstanding.</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80"/>
              <w:spacing w:after="0"/>
              <w:rPr>
                <w:sz w:val="20"/>
                <w:szCs w:val="20"/>
                <w:color w:val="auto"/>
              </w:rPr>
            </w:pPr>
            <w:r>
              <w:rPr>
                <w:rFonts w:ascii="Arial" w:cs="Arial" w:eastAsia="Arial" w:hAnsi="Arial"/>
                <w:sz w:val="18"/>
                <w:szCs w:val="18"/>
                <w:color w:val="auto"/>
              </w:rPr>
              <w:t>Item 1.</w:t>
            </w:r>
          </w:p>
        </w:tc>
        <w:tc>
          <w:tcPr>
            <w:tcW w:w="736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960" w:type="dxa"/>
            <w:vAlign w:val="bottom"/>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01"/>
        </w:trPr>
        <w:tc>
          <w:tcPr>
            <w:tcW w:w="920" w:type="dxa"/>
            <w:vAlign w:val="bottom"/>
            <w:shd w:val="clear" w:color="auto" w:fill="B2B2B2"/>
          </w:tcPr>
          <w:p>
            <w:pPr>
              <w:spacing w:after="0"/>
              <w:rPr>
                <w:sz w:val="17"/>
                <w:szCs w:val="17"/>
                <w:color w:val="auto"/>
              </w:rPr>
            </w:pPr>
          </w:p>
        </w:tc>
        <w:tc>
          <w:tcPr>
            <w:tcW w:w="7360" w:type="dxa"/>
            <w:vAlign w:val="bottom"/>
            <w:shd w:val="clear" w:color="auto" w:fill="B2B2B2"/>
          </w:tcPr>
          <w:p>
            <w:pPr>
              <w:ind w:left="160"/>
              <w:spacing w:after="0" w:line="201" w:lineRule="exact"/>
              <w:rPr>
                <w:sz w:val="20"/>
                <w:szCs w:val="20"/>
                <w:color w:val="auto"/>
              </w:rPr>
            </w:pPr>
            <w:r>
              <w:rPr>
                <w:rFonts w:ascii="Arial" w:cs="Arial" w:eastAsia="Arial" w:hAnsi="Arial"/>
                <w:sz w:val="18"/>
                <w:szCs w:val="18"/>
                <w:color w:val="auto"/>
              </w:rPr>
              <w:t>Consolidated Balance Sheets</w:t>
            </w:r>
          </w:p>
        </w:tc>
        <w:tc>
          <w:tcPr>
            <w:tcW w:w="2960" w:type="dxa"/>
            <w:vAlign w:val="bottom"/>
            <w:shd w:val="clear" w:color="auto" w:fill="B2B2B2"/>
          </w:tcPr>
          <w:p>
            <w:pPr>
              <w:spacing w:after="0"/>
              <w:rPr>
                <w:sz w:val="17"/>
                <w:szCs w:val="17"/>
                <w:color w:val="auto"/>
              </w:rPr>
            </w:pPr>
          </w:p>
        </w:tc>
      </w:tr>
      <w:tr>
        <w:trPr>
          <w:trHeight w:val="230"/>
        </w:trPr>
        <w:tc>
          <w:tcPr>
            <w:tcW w:w="920" w:type="dxa"/>
            <w:vAlign w:val="bottom"/>
            <w:shd w:val="clear" w:color="auto" w:fill="B2B2B2"/>
          </w:tcPr>
          <w:p>
            <w:pPr>
              <w:spacing w:after="0"/>
              <w:rPr>
                <w:sz w:val="19"/>
                <w:szCs w:val="19"/>
                <w:color w:val="auto"/>
              </w:rPr>
            </w:pPr>
          </w:p>
        </w:tc>
        <w:tc>
          <w:tcPr>
            <w:tcW w:w="7360" w:type="dxa"/>
            <w:vAlign w:val="bottom"/>
            <w:shd w:val="clear" w:color="auto" w:fill="B2B2B2"/>
          </w:tcPr>
          <w:p>
            <w:pPr>
              <w:ind w:left="440"/>
              <w:spacing w:after="0"/>
              <w:rPr>
                <w:sz w:val="20"/>
                <w:szCs w:val="20"/>
                <w:color w:val="auto"/>
              </w:rPr>
            </w:pPr>
            <w:r>
              <w:rPr>
                <w:rFonts w:ascii="Arial" w:cs="Arial" w:eastAsia="Arial" w:hAnsi="Arial"/>
                <w:sz w:val="18"/>
                <w:szCs w:val="18"/>
                <w:color w:val="auto"/>
              </w:rPr>
              <w:t>March 31, 2020 (unaudited) and December 31, 2019</w:t>
            </w:r>
          </w:p>
        </w:tc>
        <w:tc>
          <w:tcPr>
            <w:tcW w:w="29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w:t>
            </w:r>
          </w:p>
        </w:tc>
      </w:tr>
      <w:tr>
        <w:trPr>
          <w:trHeight w:val="229"/>
        </w:trPr>
        <w:tc>
          <w:tcPr>
            <w:tcW w:w="920" w:type="dxa"/>
            <w:vAlign w:val="bottom"/>
            <w:shd w:val="clear" w:color="auto" w:fill="B2B2B2"/>
          </w:tcPr>
          <w:p>
            <w:pPr>
              <w:spacing w:after="0"/>
              <w:rPr>
                <w:sz w:val="19"/>
                <w:szCs w:val="19"/>
                <w:color w:val="auto"/>
              </w:rPr>
            </w:pPr>
          </w:p>
        </w:tc>
        <w:tc>
          <w:tcPr>
            <w:tcW w:w="7360" w:type="dxa"/>
            <w:vAlign w:val="bottom"/>
            <w:shd w:val="clear" w:color="auto" w:fill="B2B2B2"/>
          </w:tcPr>
          <w:p>
            <w:pPr>
              <w:spacing w:after="0"/>
              <w:rPr>
                <w:sz w:val="19"/>
                <w:szCs w:val="19"/>
                <w:color w:val="auto"/>
              </w:rPr>
            </w:pPr>
          </w:p>
        </w:tc>
        <w:tc>
          <w:tcPr>
            <w:tcW w:w="2960" w:type="dxa"/>
            <w:vAlign w:val="bottom"/>
            <w:shd w:val="clear" w:color="auto" w:fill="B2B2B2"/>
          </w:tcPr>
          <w:p>
            <w:pPr>
              <w:spacing w:after="0"/>
              <w:rPr>
                <w:sz w:val="19"/>
                <w:szCs w:val="19"/>
                <w:color w:val="auto"/>
              </w:rPr>
            </w:pPr>
          </w:p>
        </w:tc>
      </w:tr>
      <w:tr>
        <w:trPr>
          <w:trHeight w:val="201"/>
        </w:trPr>
        <w:tc>
          <w:tcPr>
            <w:tcW w:w="920" w:type="dxa"/>
            <w:vAlign w:val="bottom"/>
          </w:tcPr>
          <w:p>
            <w:pPr>
              <w:spacing w:after="0"/>
              <w:rPr>
                <w:sz w:val="17"/>
                <w:szCs w:val="17"/>
                <w:color w:val="auto"/>
              </w:rPr>
            </w:pPr>
          </w:p>
        </w:tc>
        <w:tc>
          <w:tcPr>
            <w:tcW w:w="7360" w:type="dxa"/>
            <w:vAlign w:val="bottom"/>
          </w:tcPr>
          <w:p>
            <w:pPr>
              <w:ind w:left="160"/>
              <w:spacing w:after="0" w:line="201" w:lineRule="exact"/>
              <w:rPr>
                <w:sz w:val="20"/>
                <w:szCs w:val="20"/>
                <w:color w:val="auto"/>
              </w:rPr>
            </w:pPr>
            <w:r>
              <w:rPr>
                <w:rFonts w:ascii="Arial" w:cs="Arial" w:eastAsia="Arial" w:hAnsi="Arial"/>
                <w:sz w:val="18"/>
                <w:szCs w:val="18"/>
                <w:color w:val="auto"/>
              </w:rPr>
              <w:t>Consolidated Statements of Income</w:t>
            </w:r>
          </w:p>
        </w:tc>
        <w:tc>
          <w:tcPr>
            <w:tcW w:w="2960" w:type="dxa"/>
            <w:vAlign w:val="bottom"/>
          </w:tcPr>
          <w:p>
            <w:pPr>
              <w:spacing w:after="0"/>
              <w:rPr>
                <w:sz w:val="17"/>
                <w:szCs w:val="17"/>
                <w:color w:val="auto"/>
              </w:rPr>
            </w:pPr>
          </w:p>
        </w:tc>
      </w:tr>
      <w:tr>
        <w:trPr>
          <w:trHeight w:val="230"/>
        </w:trPr>
        <w:tc>
          <w:tcPr>
            <w:tcW w:w="92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Three months ended March 31, 2020 and 2019 (unaudited)</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29"/>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01"/>
        </w:trPr>
        <w:tc>
          <w:tcPr>
            <w:tcW w:w="920" w:type="dxa"/>
            <w:vAlign w:val="bottom"/>
            <w:shd w:val="clear" w:color="auto" w:fill="B2B2B2"/>
          </w:tcPr>
          <w:p>
            <w:pPr>
              <w:spacing w:after="0"/>
              <w:rPr>
                <w:sz w:val="17"/>
                <w:szCs w:val="17"/>
                <w:color w:val="auto"/>
              </w:rPr>
            </w:pPr>
          </w:p>
        </w:tc>
        <w:tc>
          <w:tcPr>
            <w:tcW w:w="7360" w:type="dxa"/>
            <w:vAlign w:val="bottom"/>
            <w:shd w:val="clear" w:color="auto" w:fill="B2B2B2"/>
          </w:tcPr>
          <w:p>
            <w:pPr>
              <w:ind w:left="160"/>
              <w:spacing w:after="0" w:line="201" w:lineRule="exact"/>
              <w:rPr>
                <w:sz w:val="20"/>
                <w:szCs w:val="20"/>
                <w:color w:val="auto"/>
              </w:rPr>
            </w:pPr>
            <w:r>
              <w:rPr>
                <w:rFonts w:ascii="Arial" w:cs="Arial" w:eastAsia="Arial" w:hAnsi="Arial"/>
                <w:sz w:val="18"/>
                <w:szCs w:val="18"/>
                <w:color w:val="auto"/>
              </w:rPr>
              <w:t>Consolidated Statements of Comprehensive Income</w:t>
            </w:r>
          </w:p>
        </w:tc>
        <w:tc>
          <w:tcPr>
            <w:tcW w:w="2960" w:type="dxa"/>
            <w:vAlign w:val="bottom"/>
            <w:shd w:val="clear" w:color="auto" w:fill="B2B2B2"/>
          </w:tcPr>
          <w:p>
            <w:pPr>
              <w:spacing w:after="0"/>
              <w:rPr>
                <w:sz w:val="17"/>
                <w:szCs w:val="17"/>
                <w:color w:val="auto"/>
              </w:rPr>
            </w:pPr>
          </w:p>
        </w:tc>
      </w:tr>
      <w:tr>
        <w:trPr>
          <w:trHeight w:val="230"/>
        </w:trPr>
        <w:tc>
          <w:tcPr>
            <w:tcW w:w="920" w:type="dxa"/>
            <w:vAlign w:val="bottom"/>
            <w:shd w:val="clear" w:color="auto" w:fill="B2B2B2"/>
          </w:tcPr>
          <w:p>
            <w:pPr>
              <w:spacing w:after="0"/>
              <w:rPr>
                <w:sz w:val="19"/>
                <w:szCs w:val="19"/>
                <w:color w:val="auto"/>
              </w:rPr>
            </w:pPr>
          </w:p>
        </w:tc>
        <w:tc>
          <w:tcPr>
            <w:tcW w:w="7360" w:type="dxa"/>
            <w:vAlign w:val="bottom"/>
            <w:shd w:val="clear" w:color="auto" w:fill="B2B2B2"/>
          </w:tcPr>
          <w:p>
            <w:pPr>
              <w:ind w:left="440"/>
              <w:spacing w:after="0"/>
              <w:rPr>
                <w:sz w:val="20"/>
                <w:szCs w:val="20"/>
                <w:color w:val="auto"/>
              </w:rPr>
            </w:pPr>
            <w:r>
              <w:rPr>
                <w:rFonts w:ascii="Arial" w:cs="Arial" w:eastAsia="Arial" w:hAnsi="Arial"/>
                <w:sz w:val="18"/>
                <w:szCs w:val="18"/>
                <w:color w:val="auto"/>
              </w:rPr>
              <w:t>Three months ended March 31, 2020 and 2019 (unaudited)</w:t>
            </w:r>
          </w:p>
        </w:tc>
        <w:tc>
          <w:tcPr>
            <w:tcW w:w="29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5</w:t>
            </w:r>
          </w:p>
        </w:tc>
      </w:tr>
      <w:tr>
        <w:trPr>
          <w:trHeight w:val="229"/>
        </w:trPr>
        <w:tc>
          <w:tcPr>
            <w:tcW w:w="920" w:type="dxa"/>
            <w:vAlign w:val="bottom"/>
            <w:shd w:val="clear" w:color="auto" w:fill="B2B2B2"/>
          </w:tcPr>
          <w:p>
            <w:pPr>
              <w:spacing w:after="0"/>
              <w:rPr>
                <w:sz w:val="19"/>
                <w:szCs w:val="19"/>
                <w:color w:val="auto"/>
              </w:rPr>
            </w:pPr>
          </w:p>
        </w:tc>
        <w:tc>
          <w:tcPr>
            <w:tcW w:w="7360" w:type="dxa"/>
            <w:vAlign w:val="bottom"/>
            <w:shd w:val="clear" w:color="auto" w:fill="B2B2B2"/>
          </w:tcPr>
          <w:p>
            <w:pPr>
              <w:spacing w:after="0"/>
              <w:rPr>
                <w:sz w:val="19"/>
                <w:szCs w:val="19"/>
                <w:color w:val="auto"/>
              </w:rPr>
            </w:pPr>
          </w:p>
        </w:tc>
        <w:tc>
          <w:tcPr>
            <w:tcW w:w="2960" w:type="dxa"/>
            <w:vAlign w:val="bottom"/>
            <w:shd w:val="clear" w:color="auto" w:fill="B2B2B2"/>
          </w:tcPr>
          <w:p>
            <w:pPr>
              <w:spacing w:after="0"/>
              <w:rPr>
                <w:sz w:val="19"/>
                <w:szCs w:val="19"/>
                <w:color w:val="auto"/>
              </w:rPr>
            </w:pPr>
          </w:p>
        </w:tc>
      </w:tr>
      <w:tr>
        <w:trPr>
          <w:trHeight w:val="201"/>
        </w:trPr>
        <w:tc>
          <w:tcPr>
            <w:tcW w:w="920" w:type="dxa"/>
            <w:vAlign w:val="bottom"/>
          </w:tcPr>
          <w:p>
            <w:pPr>
              <w:spacing w:after="0"/>
              <w:rPr>
                <w:sz w:val="17"/>
                <w:szCs w:val="17"/>
                <w:color w:val="auto"/>
              </w:rPr>
            </w:pPr>
          </w:p>
        </w:tc>
        <w:tc>
          <w:tcPr>
            <w:tcW w:w="7360" w:type="dxa"/>
            <w:vAlign w:val="bottom"/>
          </w:tcPr>
          <w:p>
            <w:pPr>
              <w:ind w:left="160"/>
              <w:spacing w:after="0" w:line="201" w:lineRule="exact"/>
              <w:rPr>
                <w:sz w:val="20"/>
                <w:szCs w:val="20"/>
                <w:color w:val="auto"/>
              </w:rPr>
            </w:pPr>
            <w:r>
              <w:rPr>
                <w:rFonts w:ascii="Arial" w:cs="Arial" w:eastAsia="Arial" w:hAnsi="Arial"/>
                <w:sz w:val="18"/>
                <w:szCs w:val="18"/>
                <w:color w:val="auto"/>
              </w:rPr>
              <w:t>Consolidated Statements of Cash Flows</w:t>
            </w:r>
          </w:p>
        </w:tc>
        <w:tc>
          <w:tcPr>
            <w:tcW w:w="2960" w:type="dxa"/>
            <w:vAlign w:val="bottom"/>
          </w:tcPr>
          <w:p>
            <w:pPr>
              <w:spacing w:after="0"/>
              <w:rPr>
                <w:sz w:val="17"/>
                <w:szCs w:val="17"/>
                <w:color w:val="auto"/>
              </w:rPr>
            </w:pPr>
          </w:p>
        </w:tc>
      </w:tr>
      <w:tr>
        <w:trPr>
          <w:trHeight w:val="230"/>
        </w:trPr>
        <w:tc>
          <w:tcPr>
            <w:tcW w:w="92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Three months ended March 31, 2020 and 2019 (unaudited)</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323" w:right="339" w:bottom="1440" w:gutter="0" w:footer="0" w:header="0"/>
        </w:sectPr>
      </w:pPr>
    </w:p>
    <w:p>
      <w:pPr>
        <w:spacing w:after="0" w:line="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419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41910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Three months ended March 31, 2020 and 2019 (unaudited)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to Consolidated Financial Statements (unaudited)</w:t>
      </w:r>
    </w:p>
    <w:p>
      <w:pPr>
        <w:spacing w:after="0" w:line="23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28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1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22" w:lineRule="exact"/>
        <w:rPr>
          <w:sz w:val="20"/>
          <w:szCs w:val="20"/>
          <w:color w:val="auto"/>
        </w:rPr>
      </w:pPr>
    </w:p>
    <w:p>
      <w:pPr>
        <w:sectPr>
          <w:pgSz w:w="11900" w:h="16838" w:orient="portrait"/>
          <w:cols w:equalWidth="0" w:num="2">
            <w:col w:w="10200" w:space="720"/>
            <w:col w:w="320"/>
          </w:cols>
          <w:pgMar w:left="320" w:top="323"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Item 4.   CONTROLS AND PROCEDURES</w:t>
            </w:r>
          </w:p>
        </w:tc>
        <w:tc>
          <w:tcPr>
            <w:tcW w:w="3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29</w:t>
            </w:r>
          </w:p>
        </w:tc>
      </w:tr>
      <w:tr>
        <w:trPr>
          <w:trHeight w:val="194"/>
        </w:trPr>
        <w:tc>
          <w:tcPr>
            <w:tcW w:w="7300" w:type="dxa"/>
            <w:vAlign w:val="bottom"/>
            <w:shd w:val="clear" w:color="auto" w:fill="B2B2B2"/>
          </w:tcPr>
          <w:p>
            <w:pPr>
              <w:spacing w:after="0"/>
              <w:rPr>
                <w:sz w:val="16"/>
                <w:szCs w:val="16"/>
                <w:color w:val="auto"/>
              </w:rPr>
            </w:pPr>
          </w:p>
        </w:tc>
        <w:tc>
          <w:tcPr>
            <w:tcW w:w="3940" w:type="dxa"/>
            <w:vAlign w:val="bottom"/>
            <w:shd w:val="clear" w:color="auto" w:fill="B2B2B2"/>
          </w:tcPr>
          <w:p>
            <w:pPr>
              <w:spacing w:after="0"/>
              <w:rPr>
                <w:sz w:val="16"/>
                <w:szCs w:val="16"/>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3940" w:type="dxa"/>
            <w:vAlign w:val="bottom"/>
          </w:tcPr>
          <w:p>
            <w:pPr>
              <w:jc w:val="right"/>
              <w:ind w:right="50"/>
              <w:spacing w:after="0"/>
              <w:rPr>
                <w:sz w:val="20"/>
                <w:szCs w:val="20"/>
                <w:color w:val="auto"/>
              </w:rPr>
            </w:pPr>
            <w:r>
              <w:rPr>
                <w:rFonts w:ascii="Arial" w:cs="Arial" w:eastAsia="Arial" w:hAnsi="Arial"/>
                <w:sz w:val="18"/>
                <w:szCs w:val="18"/>
                <w:color w:val="auto"/>
              </w:rPr>
              <w:t>29</w:t>
            </w:r>
          </w:p>
        </w:tc>
      </w:tr>
      <w:tr>
        <w:trPr>
          <w:trHeight w:val="210"/>
        </w:trPr>
        <w:tc>
          <w:tcPr>
            <w:tcW w:w="73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73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SIGNATURES</w:t>
            </w:r>
          </w:p>
        </w:tc>
        <w:tc>
          <w:tcPr>
            <w:tcW w:w="3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32</w:t>
            </w:r>
          </w:p>
        </w:tc>
      </w:tr>
      <w:tr>
        <w:trPr>
          <w:trHeight w:val="214"/>
        </w:trPr>
        <w:tc>
          <w:tcPr>
            <w:tcW w:w="7300" w:type="dxa"/>
            <w:vAlign w:val="bottom"/>
            <w:shd w:val="clear" w:color="auto" w:fill="B2B2B2"/>
          </w:tcPr>
          <w:p>
            <w:pPr>
              <w:spacing w:after="0"/>
              <w:rPr>
                <w:sz w:val="18"/>
                <w:szCs w:val="18"/>
                <w:color w:val="auto"/>
              </w:rPr>
            </w:pPr>
          </w:p>
        </w:tc>
        <w:tc>
          <w:tcPr>
            <w:tcW w:w="3940" w:type="dxa"/>
            <w:vAlign w:val="bottom"/>
            <w:shd w:val="clear" w:color="auto" w:fill="B2B2B2"/>
          </w:tcPr>
          <w:p>
            <w:pPr>
              <w:spacing w:after="0"/>
              <w:rPr>
                <w:sz w:val="18"/>
                <w:szCs w:val="18"/>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2019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4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40" w:type="dxa"/>
            <w:vAlign w:val="bottom"/>
          </w:tcPr>
          <w:p>
            <w:pPr>
              <w:jc w:val="center"/>
              <w:ind w:left="1770"/>
              <w:spacing w:after="0"/>
              <w:rPr>
                <w:sz w:val="20"/>
                <w:szCs w:val="20"/>
                <w:color w:val="auto"/>
              </w:rPr>
            </w:pPr>
            <w:r>
              <w:rPr>
                <w:rFonts w:ascii="Arial" w:cs="Arial" w:eastAsia="Arial" w:hAnsi="Arial"/>
                <w:sz w:val="18"/>
                <w:szCs w:val="18"/>
                <w:color w:val="auto"/>
                <w:w w:val="88"/>
              </w:rPr>
              <w:t>(Dollars in Thousands except Share and Per Share Data)</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18,878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Interest-bearing deposits in other financial institutions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137,617</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Federal funds sold and other short-term investments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6,699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top w:val="single" w:sz="8" w:color="B2B2B2"/>
            </w:tcBorders>
            <w:shd w:val="clear" w:color="auto" w:fill="B2B2B2"/>
          </w:tcPr>
          <w:p>
            <w:pPr>
              <w:spacing w:after="0"/>
              <w:rPr>
                <w:sz w:val="18"/>
                <w:szCs w:val="18"/>
                <w:color w:val="auto"/>
              </w:rPr>
            </w:pPr>
          </w:p>
        </w:tc>
        <w:tc>
          <w:tcPr>
            <w:tcW w:w="7720" w:type="dxa"/>
            <w:vAlign w:val="bottom"/>
            <w:tcBorders>
              <w:top w:val="single" w:sz="8" w:color="B2B2B2"/>
            </w:tcBorders>
            <w:gridSpan w:val="3"/>
            <w:shd w:val="clear" w:color="auto" w:fill="B2B2B2"/>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13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163,194</w:t>
            </w:r>
          </w:p>
        </w:tc>
        <w:tc>
          <w:tcPr>
            <w:tcW w:w="22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bottom w:val="single" w:sz="8" w:color="auto"/>
            </w:tcBorders>
            <w:shd w:val="clear" w:color="auto" w:fill="B2B2B2"/>
          </w:tcPr>
          <w:p>
            <w:pPr>
              <w:spacing w:after="0"/>
              <w:rPr>
                <w:sz w:val="18"/>
                <w:szCs w:val="18"/>
                <w:color w:val="auto"/>
              </w:rPr>
            </w:pPr>
          </w:p>
        </w:tc>
        <w:tc>
          <w:tcPr>
            <w:tcW w:w="13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Securities available-for-sale, at fair value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387,994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854,780</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772,638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720" w:type="dxa"/>
            <w:vAlign w:val="bottom"/>
            <w:gridSpan w:val="3"/>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10,889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top w:val="single" w:sz="8" w:color="B2B2B2"/>
            </w:tcBorders>
            <w:shd w:val="clear" w:color="auto" w:fill="B2B2B2"/>
          </w:tcPr>
          <w:p>
            <w:pPr>
              <w:spacing w:after="0"/>
              <w:rPr>
                <w:sz w:val="18"/>
                <w:szCs w:val="18"/>
                <w:color w:val="auto"/>
              </w:rPr>
            </w:pPr>
          </w:p>
        </w:tc>
        <w:tc>
          <w:tcPr>
            <w:tcW w:w="7720" w:type="dxa"/>
            <w:vAlign w:val="bottom"/>
            <w:tcBorders>
              <w:top w:val="single" w:sz="8" w:color="B2B2B2"/>
            </w:tcBorders>
            <w:gridSpan w:val="3"/>
            <w:shd w:val="clear" w:color="auto" w:fill="B2B2B2"/>
          </w:tcPr>
          <w:p>
            <w:pPr>
              <w:ind w:left="680"/>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13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843,891</w:t>
            </w:r>
          </w:p>
        </w:tc>
        <w:tc>
          <w:tcPr>
            <w:tcW w:w="22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bottom w:val="single" w:sz="8" w:color="auto"/>
            </w:tcBorders>
            <w:shd w:val="clear" w:color="auto" w:fill="B2B2B2"/>
          </w:tcPr>
          <w:p>
            <w:pPr>
              <w:spacing w:after="0"/>
              <w:rPr>
                <w:sz w:val="18"/>
                <w:szCs w:val="18"/>
                <w:color w:val="auto"/>
              </w:rPr>
            </w:pPr>
          </w:p>
        </w:tc>
        <w:tc>
          <w:tcPr>
            <w:tcW w:w="13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Payments in excess of funding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208,845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19,755</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Investment in bank-owned life insurance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17,712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14,262</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4,066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72,263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112,715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720" w:type="dxa"/>
            <w:vAlign w:val="bottom"/>
            <w:gridSpan w:val="3"/>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1,731,982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top w:val="single" w:sz="8" w:color="B2B2B2"/>
            </w:tcBorders>
            <w:shd w:val="clear" w:color="auto" w:fill="B2B2B2"/>
          </w:tcPr>
          <w:p>
            <w:pPr>
              <w:spacing w:after="0"/>
              <w:rPr>
                <w:sz w:val="17"/>
                <w:szCs w:val="17"/>
                <w:color w:val="auto"/>
              </w:rPr>
            </w:pPr>
          </w:p>
        </w:tc>
        <w:tc>
          <w:tcPr>
            <w:tcW w:w="780" w:type="dxa"/>
            <w:vAlign w:val="bottom"/>
            <w:tcBorders>
              <w:top w:val="single" w:sz="8" w:color="auto"/>
            </w:tcBorders>
            <w:shd w:val="clear" w:color="auto" w:fill="B2B2B2"/>
          </w:tcPr>
          <w:p>
            <w:pPr>
              <w:spacing w:after="0" w:line="195" w:lineRule="exact"/>
              <w:rPr>
                <w:sz w:val="20"/>
                <w:szCs w:val="20"/>
                <w:color w:val="auto"/>
              </w:rPr>
            </w:pPr>
            <w:r>
              <w:rPr>
                <w:rFonts w:ascii="Arial" w:cs="Arial" w:eastAsia="Arial" w:hAnsi="Arial"/>
                <w:sz w:val="18"/>
                <w:szCs w:val="18"/>
                <w:color w:val="auto"/>
              </w:rPr>
              <w:t>Deposits:</w:t>
            </w:r>
          </w:p>
        </w:tc>
        <w:tc>
          <w:tcPr>
            <w:tcW w:w="800" w:type="dxa"/>
            <w:vAlign w:val="bottom"/>
            <w:tcBorders>
              <w:top w:val="single" w:sz="8" w:color="B2B2B2"/>
            </w:tcBorders>
            <w:shd w:val="clear" w:color="auto" w:fill="B2B2B2"/>
          </w:tcPr>
          <w:p>
            <w:pPr>
              <w:spacing w:after="0"/>
              <w:rPr>
                <w:sz w:val="17"/>
                <w:szCs w:val="17"/>
                <w:color w:val="auto"/>
              </w:rPr>
            </w:pPr>
          </w:p>
        </w:tc>
        <w:tc>
          <w:tcPr>
            <w:tcW w:w="6140" w:type="dxa"/>
            <w:vAlign w:val="bottom"/>
            <w:tcBorders>
              <w:top w:val="single" w:sz="8" w:color="B2B2B2"/>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260" w:type="dxa"/>
            <w:vAlign w:val="bottom"/>
            <w:tcBorders>
              <w:top w:val="single" w:sz="8" w:color="B2B2B2"/>
            </w:tcBorders>
            <w:shd w:val="clear" w:color="auto" w:fill="B2B2B2"/>
          </w:tcPr>
          <w:p>
            <w:pPr>
              <w:spacing w:after="0"/>
              <w:rPr>
                <w:sz w:val="17"/>
                <w:szCs w:val="17"/>
                <w:color w:val="auto"/>
              </w:rPr>
            </w:pPr>
          </w:p>
        </w:tc>
        <w:tc>
          <w:tcPr>
            <w:tcW w:w="132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180" w:type="dxa"/>
            <w:vAlign w:val="bottom"/>
            <w:tcBorders>
              <w:top w:val="single" w:sz="8" w:color="B2B2B2"/>
            </w:tcBorders>
            <w:shd w:val="clear" w:color="auto" w:fill="B2B2B2"/>
          </w:tcPr>
          <w:p>
            <w:pPr>
              <w:spacing w:after="0"/>
              <w:rPr>
                <w:sz w:val="17"/>
                <w:szCs w:val="17"/>
                <w:color w:val="auto"/>
              </w:rPr>
            </w:pPr>
          </w:p>
        </w:tc>
        <w:tc>
          <w:tcPr>
            <w:tcW w:w="1380" w:type="dxa"/>
            <w:vAlign w:val="bottom"/>
            <w:tcBorders>
              <w:top w:val="single" w:sz="8" w:color="B2B2B2"/>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Noninterest-bearing</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288,226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B2B2B2"/>
          </w:tcPr>
          <w:p>
            <w:pPr>
              <w:spacing w:after="0"/>
              <w:rPr>
                <w:sz w:val="18"/>
                <w:szCs w:val="18"/>
                <w:color w:val="auto"/>
              </w:rPr>
            </w:pPr>
          </w:p>
        </w:tc>
        <w:tc>
          <w:tcPr>
            <w:tcW w:w="7720" w:type="dxa"/>
            <w:vAlign w:val="bottom"/>
            <w:gridSpan w:val="3"/>
            <w:shd w:val="clear" w:color="auto" w:fill="B2B2B2"/>
          </w:tcPr>
          <w:p>
            <w:pPr>
              <w:ind w:left="140"/>
              <w:spacing w:after="0"/>
              <w:rPr>
                <w:sz w:val="20"/>
                <w:szCs w:val="20"/>
                <w:color w:val="auto"/>
              </w:rPr>
            </w:pPr>
            <w:r>
              <w:rPr>
                <w:rFonts w:ascii="Arial" w:cs="Arial" w:eastAsia="Arial" w:hAnsi="Arial"/>
                <w:sz w:val="18"/>
                <w:szCs w:val="18"/>
                <w:color w:val="auto"/>
              </w:rPr>
              <w:t>Interest-bearing</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438,381</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406,045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B2B2B2"/>
            </w:tcBorders>
          </w:tcPr>
          <w:p>
            <w:pPr>
              <w:spacing w:after="0"/>
              <w:rPr>
                <w:sz w:val="18"/>
                <w:szCs w:val="18"/>
                <w:color w:val="auto"/>
              </w:rPr>
            </w:pPr>
          </w:p>
        </w:tc>
        <w:tc>
          <w:tcPr>
            <w:tcW w:w="7720" w:type="dxa"/>
            <w:vAlign w:val="bottom"/>
            <w:tcBorders>
              <w:bottom w:val="single" w:sz="8" w:color="B2B2B2"/>
            </w:tcBorders>
            <w:gridSpan w:val="3"/>
          </w:tcPr>
          <w:p>
            <w:pPr>
              <w:ind w:left="320"/>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726,607</w:t>
            </w:r>
          </w:p>
        </w:tc>
        <w:tc>
          <w:tcPr>
            <w:tcW w:w="220" w:type="dxa"/>
            <w:vAlign w:val="bottom"/>
            <w:tcBorders>
              <w:bottom w:val="single" w:sz="8" w:color="B2B2B2"/>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Accounts and drafts payable</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702,069</w:t>
            </w: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684,295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62,023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720" w:type="dxa"/>
            <w:vAlign w:val="bottom"/>
            <w:gridSpan w:val="3"/>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1,490,699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B2B2B2"/>
          </w:tcPr>
          <w:p>
            <w:pPr>
              <w:spacing w:after="0"/>
              <w:rPr>
                <w:sz w:val="18"/>
                <w:szCs w:val="18"/>
                <w:color w:val="auto"/>
              </w:rPr>
            </w:pPr>
          </w:p>
        </w:tc>
        <w:tc>
          <w:tcPr>
            <w:tcW w:w="158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w w:val="91"/>
              </w:rPr>
              <w:t>Shareholders’ Equity:</w:t>
            </w:r>
          </w:p>
        </w:tc>
        <w:tc>
          <w:tcPr>
            <w:tcW w:w="6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7720" w:type="dxa"/>
            <w:vAlign w:val="bottom"/>
            <w:gridSpan w:val="3"/>
          </w:tcPr>
          <w:p>
            <w:pPr>
              <w:spacing w:after="0" w:line="195" w:lineRule="exact"/>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gridSpan w:val="4"/>
            <w:shd w:val="clear" w:color="auto" w:fill="B2B2B2"/>
          </w:tcPr>
          <w:p>
            <w:pPr>
              <w:ind w:left="40"/>
              <w:spacing w:after="0" w:line="201" w:lineRule="exact"/>
              <w:rPr>
                <w:sz w:val="20"/>
                <w:szCs w:val="20"/>
                <w:color w:val="auto"/>
              </w:rPr>
            </w:pPr>
            <w:r>
              <w:rPr>
                <w:rFonts w:ascii="Arial" w:cs="Arial" w:eastAsia="Arial" w:hAnsi="Arial"/>
                <w:sz w:val="18"/>
                <w:szCs w:val="18"/>
                <w:color w:val="auto"/>
                <w:w w:val="91"/>
              </w:rPr>
              <w:t>Common stock, par value $.50 per share; 40,000,000 shares authorized and 15,505,772 shares issued at</w:t>
            </w:r>
          </w:p>
        </w:tc>
        <w:tc>
          <w:tcPr>
            <w:tcW w:w="12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13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138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2B2B2"/>
          </w:tcPr>
          <w:p>
            <w:pPr>
              <w:spacing w:after="0"/>
              <w:rPr>
                <w:sz w:val="19"/>
                <w:szCs w:val="19"/>
                <w:color w:val="auto"/>
              </w:rPr>
            </w:pPr>
          </w:p>
        </w:tc>
        <w:tc>
          <w:tcPr>
            <w:tcW w:w="772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March 31, 2020 and December 31, 2019</w:t>
            </w:r>
          </w:p>
        </w:tc>
        <w:tc>
          <w:tcPr>
            <w:tcW w:w="120" w:type="dxa"/>
            <w:vAlign w:val="bottom"/>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7,753</w:t>
            </w:r>
          </w:p>
        </w:tc>
        <w:tc>
          <w:tcPr>
            <w:tcW w:w="180" w:type="dxa"/>
            <w:vAlign w:val="bottom"/>
            <w:shd w:val="clear" w:color="auto" w:fill="B2B2B2"/>
          </w:tcPr>
          <w:p>
            <w:pPr>
              <w:spacing w:after="0"/>
              <w:rPr>
                <w:sz w:val="19"/>
                <w:szCs w:val="19"/>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203,801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93,968</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90,341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gridSpan w:val="4"/>
          </w:tcPr>
          <w:p>
            <w:pPr>
              <w:ind w:left="40"/>
              <w:spacing w:after="0" w:line="201" w:lineRule="exact"/>
              <w:rPr>
                <w:sz w:val="20"/>
                <w:szCs w:val="20"/>
                <w:color w:val="auto"/>
              </w:rPr>
            </w:pPr>
            <w:r>
              <w:rPr>
                <w:rFonts w:ascii="Arial" w:cs="Arial" w:eastAsia="Arial" w:hAnsi="Arial"/>
                <w:sz w:val="18"/>
                <w:szCs w:val="18"/>
                <w:color w:val="auto"/>
                <w:w w:val="89"/>
              </w:rPr>
              <w:t>Common shares in treasury, at cost (1,092,200 shares at March 31, 2020 and 991,406 shares at December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gridSpan w:val="3"/>
          </w:tcPr>
          <w:p>
            <w:pPr>
              <w:ind w:left="220"/>
              <w:spacing w:after="0"/>
              <w:rPr>
                <w:sz w:val="20"/>
                <w:szCs w:val="20"/>
                <w:color w:val="auto"/>
              </w:rPr>
            </w:pPr>
            <w:r>
              <w:rPr>
                <w:rFonts w:ascii="Arial" w:cs="Arial" w:eastAsia="Arial" w:hAnsi="Arial"/>
                <w:sz w:val="18"/>
                <w:szCs w:val="18"/>
                <w:color w:val="auto"/>
              </w:rPr>
              <w:t>31, 2019)</w:t>
            </w:r>
          </w:p>
        </w:tc>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(49,800)</w:t>
            </w: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(45,381)</w:t>
            </w:r>
          </w:p>
        </w:tc>
        <w:tc>
          <w:tcPr>
            <w:tcW w:w="0" w:type="dxa"/>
            <w:vAlign w:val="bottom"/>
          </w:tcPr>
          <w:p>
            <w:pPr>
              <w:spacing w:after="0"/>
              <w:rPr>
                <w:sz w:val="1"/>
                <w:szCs w:val="1"/>
                <w:color w:val="auto"/>
              </w:rPr>
            </w:pPr>
          </w:p>
        </w:tc>
      </w:tr>
      <w:tr>
        <w:trPr>
          <w:trHeight w:val="215"/>
        </w:trPr>
        <w:tc>
          <w:tcPr>
            <w:tcW w:w="7760" w:type="dxa"/>
            <w:vAlign w:val="bottom"/>
            <w:gridSpan w:val="4"/>
            <w:shd w:val="clear" w:color="auto" w:fill="B2B2B2"/>
          </w:tcPr>
          <w:p>
            <w:pPr>
              <w:ind w:left="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(14,439)</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B2B2B2"/>
            </w:tcBorders>
          </w:tcPr>
          <w:p>
            <w:pPr>
              <w:spacing w:after="0"/>
              <w:rPr>
                <w:sz w:val="18"/>
                <w:szCs w:val="18"/>
                <w:color w:val="auto"/>
              </w:rPr>
            </w:pPr>
          </w:p>
        </w:tc>
        <w:tc>
          <w:tcPr>
            <w:tcW w:w="7720" w:type="dxa"/>
            <w:vAlign w:val="bottom"/>
            <w:tcBorders>
              <w:bottom w:val="single" w:sz="8" w:color="B2B2B2"/>
            </w:tcBorders>
            <w:gridSpan w:val="3"/>
          </w:tcPr>
          <w:p>
            <w:pPr>
              <w:ind w:left="3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241,283</w:t>
            </w:r>
          </w:p>
        </w:tc>
        <w:tc>
          <w:tcPr>
            <w:tcW w:w="220" w:type="dxa"/>
            <w:vAlign w:val="bottom"/>
            <w:tcBorders>
              <w:bottom w:val="single" w:sz="8" w:color="B2B2B2"/>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B2B2B2"/>
            </w:tcBorders>
            <w:shd w:val="clear" w:color="auto" w:fill="B2B2B2"/>
          </w:tcPr>
          <w:p>
            <w:pPr>
              <w:spacing w:after="0"/>
              <w:rPr>
                <w:sz w:val="18"/>
                <w:szCs w:val="18"/>
                <w:color w:val="auto"/>
              </w:rPr>
            </w:pPr>
          </w:p>
        </w:tc>
        <w:tc>
          <w:tcPr>
            <w:tcW w:w="7720" w:type="dxa"/>
            <w:vAlign w:val="bottom"/>
            <w:tcBorders>
              <w:bottom w:val="single" w:sz="8" w:color="B2B2B2"/>
            </w:tcBorders>
            <w:gridSpan w:val="3"/>
            <w:shd w:val="clear" w:color="auto" w:fill="B2B2B2"/>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1,731,982</w:t>
            </w:r>
          </w:p>
        </w:tc>
        <w:tc>
          <w:tcPr>
            <w:tcW w:w="22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1,764,243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Fee Revenue and Other Income:</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Information services payment and processing revenue</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25,503</w:t>
            </w:r>
          </w:p>
        </w:tc>
        <w:tc>
          <w:tcPr>
            <w:tcW w:w="9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Bank service fees</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410</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Gains on sales of securities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360"/>
              <w:spacing w:after="0"/>
              <w:rPr>
                <w:sz w:val="20"/>
                <w:szCs w:val="20"/>
                <w:color w:val="auto"/>
              </w:rPr>
            </w:pPr>
            <w:r>
              <w:rPr>
                <w:rFonts w:ascii="Arial" w:cs="Arial" w:eastAsia="Arial" w:hAnsi="Arial"/>
                <w:sz w:val="18"/>
                <w:szCs w:val="18"/>
                <w:color w:val="auto"/>
              </w:rPr>
              <w:t>Total fee revenue and other income</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27,095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Interest and fees on loans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9,001</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Interest and dividends on securities:</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Exempt from federal income taxes</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1,819</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Interest on federal funds sold and other short-term investments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top w:val="single" w:sz="8" w:color="B2B2B2"/>
              <w:bottom w:val="single" w:sz="8" w:color="B2B2B2"/>
            </w:tcBorders>
            <w:shd w:val="clear" w:color="auto" w:fill="B2B2B2"/>
          </w:tcPr>
          <w:p>
            <w:pPr>
              <w:ind w:left="360"/>
              <w:spacing w:after="0"/>
              <w:rPr>
                <w:sz w:val="20"/>
                <w:szCs w:val="20"/>
                <w:color w:val="auto"/>
              </w:rPr>
            </w:pPr>
            <w:r>
              <w:rPr>
                <w:rFonts w:ascii="Arial" w:cs="Arial" w:eastAsia="Arial" w:hAnsi="Arial"/>
                <w:sz w:val="18"/>
                <w:szCs w:val="18"/>
                <w:color w:val="auto"/>
              </w:rPr>
              <w:t>Total interest income</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12,338</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12,897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Interest on deposits</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963</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B2B2B2"/>
            </w:tcBorders>
          </w:tcPr>
          <w:p>
            <w:pPr>
              <w:ind w:left="40"/>
              <w:spacing w:after="0"/>
              <w:rPr>
                <w:sz w:val="20"/>
                <w:szCs w:val="20"/>
                <w:color w:val="auto"/>
              </w:rPr>
            </w:pPr>
            <w:r>
              <w:rPr>
                <w:rFonts w:ascii="Arial" w:cs="Arial" w:eastAsia="Arial" w:hAnsi="Arial"/>
                <w:sz w:val="18"/>
                <w:szCs w:val="18"/>
                <w:color w:val="auto"/>
              </w:rPr>
              <w:t>Interest on short-term borrowings</w:t>
            </w:r>
          </w:p>
        </w:tc>
        <w:tc>
          <w:tcPr>
            <w:tcW w:w="120" w:type="dxa"/>
            <w:vAlign w:val="bottom"/>
            <w:tcBorders>
              <w:bottom w:val="single" w:sz="8" w:color="B2B2B2"/>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B2B2B2"/>
            </w:tcBorders>
          </w:tcPr>
          <w:p>
            <w:pPr>
              <w:spacing w:after="0"/>
              <w:rPr>
                <w:sz w:val="18"/>
                <w:szCs w:val="18"/>
                <w:color w:val="auto"/>
              </w:rPr>
            </w:pPr>
          </w:p>
        </w:tc>
        <w:tc>
          <w:tcPr>
            <w:tcW w:w="40" w:type="dxa"/>
            <w:vAlign w:val="bottom"/>
            <w:tcBorders>
              <w:bottom w:val="single" w:sz="8" w:color="B2B2B2"/>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0"/>
              </w:rPr>
              <w:t>11,373</w:t>
            </w: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0"/>
              </w:rPr>
              <w:t>11,607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11,048</w:t>
            </w: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11,357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54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38,143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Operating Expense:</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22,427</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941</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1,635</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215</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3,711</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top w:val="single" w:sz="8" w:color="B2B2B2"/>
            </w:tcBorders>
            <w:shd w:val="clear" w:color="auto" w:fill="B2B2B2"/>
          </w:tcPr>
          <w:p>
            <w:pPr>
              <w:ind w:left="360"/>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28,929</w:t>
            </w: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940" w:type="dxa"/>
            <w:vAlign w:val="bottom"/>
            <w:tcBorders>
              <w:top w:val="single" w:sz="8" w:color="auto"/>
              <w:bottom w:val="single" w:sz="8" w:color="auto"/>
            </w:tcBorders>
            <w:shd w:val="clear" w:color="auto" w:fill="B2B2B2"/>
          </w:tcPr>
          <w:p>
            <w:pPr>
              <w:spacing w:after="0"/>
              <w:rPr>
                <w:sz w:val="18"/>
                <w:szCs w:val="18"/>
                <w:color w:val="auto"/>
              </w:rPr>
            </w:pPr>
          </w:p>
        </w:tc>
        <w:tc>
          <w:tcPr>
            <w:tcW w:w="5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0"/>
              </w:rPr>
              <w:t>28,462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540"/>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1,669</w:t>
            </w:r>
          </w:p>
        </w:tc>
        <w:tc>
          <w:tcPr>
            <w:tcW w:w="4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Basic earnings per share</w:t>
            </w:r>
          </w:p>
        </w:tc>
        <w:tc>
          <w:tcPr>
            <w:tcW w:w="1060" w:type="dxa"/>
            <w:vAlign w:val="bottom"/>
            <w:gridSpan w:val="2"/>
            <w:shd w:val="clear" w:color="auto" w:fill="B2B2B2"/>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B2B2B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r>
      <w:tr>
        <w:trPr>
          <w:trHeight w:val="234"/>
        </w:trPr>
        <w:tc>
          <w:tcPr>
            <w:tcW w:w="8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r>
      <w:tr>
        <w:trPr>
          <w:trHeight w:val="209"/>
        </w:trPr>
        <w:tc>
          <w:tcPr>
            <w:tcW w:w="8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09"/>
        </w:trPr>
        <w:tc>
          <w:tcPr>
            <w:tcW w:w="822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r>
      <w:tr>
        <w:trPr>
          <w:trHeight w:val="215"/>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7,545</w:t>
            </w:r>
          </w:p>
        </w:tc>
        <w:tc>
          <w:tcPr>
            <w:tcW w:w="9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8,163</w:t>
            </w:r>
          </w:p>
        </w:tc>
      </w:tr>
      <w:tr>
        <w:trPr>
          <w:trHeight w:val="215"/>
        </w:trPr>
        <w:tc>
          <w:tcPr>
            <w:tcW w:w="8220" w:type="dxa"/>
            <w:vAlign w:val="bottom"/>
            <w:shd w:val="clear" w:color="auto" w:fill="B2B2B2"/>
          </w:tcPr>
          <w:p>
            <w:pPr>
              <w:ind w:left="40"/>
              <w:spacing w:after="0"/>
              <w:rPr>
                <w:sz w:val="20"/>
                <w:szCs w:val="20"/>
                <w:color w:val="auto"/>
              </w:rPr>
            </w:pPr>
            <w:r>
              <w:rPr>
                <w:rFonts w:ascii="Arial" w:cs="Arial" w:eastAsia="Arial" w:hAnsi="Arial"/>
                <w:sz w:val="18"/>
                <w:szCs w:val="18"/>
                <w:color w:val="auto"/>
              </w:rPr>
              <w:t>Other comprehensive (loss) income:</w:t>
            </w: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r>
      <w:tr>
        <w:trPr>
          <w:trHeight w:val="215"/>
        </w:trPr>
        <w:tc>
          <w:tcPr>
            <w:tcW w:w="8220" w:type="dxa"/>
            <w:vAlign w:val="bottom"/>
          </w:tcPr>
          <w:p>
            <w:pPr>
              <w:ind w:left="180"/>
              <w:spacing w:after="0"/>
              <w:rPr>
                <w:sz w:val="20"/>
                <w:szCs w:val="20"/>
                <w:color w:val="auto"/>
              </w:rPr>
            </w:pPr>
            <w:r>
              <w:rPr>
                <w:rFonts w:ascii="Arial" w:cs="Arial" w:eastAsia="Arial" w:hAnsi="Arial"/>
                <w:sz w:val="18"/>
                <w:szCs w:val="18"/>
                <w:color w:val="auto"/>
              </w:rPr>
              <w:t>Net unrealized gain on securities available-for-sale</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7,137</w:t>
            </w:r>
          </w:p>
        </w:tc>
      </w:tr>
      <w:tr>
        <w:trPr>
          <w:trHeight w:val="215"/>
        </w:trPr>
        <w:tc>
          <w:tcPr>
            <w:tcW w:w="8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92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1"/>
              </w:rPr>
              <w:t>(1,699)</w:t>
            </w:r>
          </w:p>
        </w:tc>
      </w:tr>
      <w:tr>
        <w:trPr>
          <w:trHeight w:val="215"/>
        </w:trPr>
        <w:tc>
          <w:tcPr>
            <w:tcW w:w="8220" w:type="dxa"/>
            <w:vAlign w:val="bottom"/>
          </w:tcPr>
          <w:p>
            <w:pPr>
              <w:ind w:left="180"/>
              <w:spacing w:after="0"/>
              <w:rPr>
                <w:sz w:val="20"/>
                <w:szCs w:val="20"/>
                <w:color w:val="auto"/>
              </w:rPr>
            </w:pPr>
            <w:r>
              <w:rPr>
                <w:rFonts w:ascii="Arial" w:cs="Arial" w:eastAsia="Arial" w:hAnsi="Arial"/>
                <w:sz w:val="18"/>
                <w:szCs w:val="18"/>
                <w:color w:val="auto"/>
              </w:rPr>
              <w:t>Reclassification adjustments for gains included in net income</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(1,069)</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5"/>
        </w:trPr>
        <w:tc>
          <w:tcPr>
            <w:tcW w:w="8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920" w:type="dxa"/>
            <w:vAlign w:val="bottom"/>
            <w:shd w:val="clear" w:color="auto" w:fill="B2B2B2"/>
          </w:tcPr>
          <w:p>
            <w:pPr>
              <w:spacing w:after="0"/>
              <w:rPr>
                <w:sz w:val="18"/>
                <w:szCs w:val="18"/>
                <w:color w:val="auto"/>
              </w:rPr>
            </w:pPr>
          </w:p>
        </w:tc>
        <w:tc>
          <w:tcPr>
            <w:tcW w:w="6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82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8220" w:type="dxa"/>
            <w:vAlign w:val="bottom"/>
            <w:tcBorders>
              <w:top w:val="single" w:sz="8" w:color="B2B2B2"/>
              <w:bottom w:val="single" w:sz="8" w:color="B2B2B2"/>
            </w:tcBorders>
            <w:shd w:val="clear" w:color="auto" w:fill="B2B2B2"/>
          </w:tcPr>
          <w:p>
            <w:pPr>
              <w:ind w:left="40"/>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top w:val="single" w:sz="8" w:color="auto"/>
              <w:bottom w:val="single" w:sz="8" w:color="auto"/>
            </w:tcBorders>
            <w:shd w:val="clear" w:color="auto" w:fill="B2B2B2"/>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7,026</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920" w:type="dxa"/>
            <w:vAlign w:val="bottom"/>
            <w:tcBorders>
              <w:top w:val="single" w:sz="8" w:color="auto"/>
              <w:bottom w:val="single" w:sz="8" w:color="auto"/>
            </w:tcBorders>
            <w:shd w:val="clear" w:color="auto" w:fill="B2B2B2"/>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4"/>
              </w:rPr>
              <w:t>13,579</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09"/>
        </w:trPr>
        <w:tc>
          <w:tcPr>
            <w:tcW w:w="8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7,545</w:t>
            </w: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8,163</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2,790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Gains on sales of securities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(1,069)</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325</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Increase in income tax liability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Increase in pension liability</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1,079</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1,295</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Increase in accounts receivable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Other operating activities, net</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5,361</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1,950</w:t>
            </w:r>
          </w:p>
        </w:tc>
      </w:tr>
      <w:tr>
        <w:trPr>
          <w:trHeight w:val="209"/>
        </w:trPr>
        <w:tc>
          <w:tcPr>
            <w:tcW w:w="810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16,435</w:t>
            </w:r>
          </w:p>
        </w:tc>
      </w:tr>
      <w:tr>
        <w:trPr>
          <w:trHeight w:val="195"/>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Proceeds from sales of securities available-for-sale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19,629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Proceeds from maturities of securities available-for-sale</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14,148</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4,824</w:t>
            </w: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(82,134)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(29,711)</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Increase in payments in excess of funding</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(2,687)</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(2,176)</w:t>
            </w: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Purchases of premises and equipment,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09"/>
        </w:trPr>
        <w:tc>
          <w:tcPr>
            <w:tcW w:w="810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320" w:type="dxa"/>
            <w:vAlign w:val="bottom"/>
            <w:tcBorders>
              <w:top w:val="single" w:sz="8" w:color="auto"/>
              <w:bottom w:val="single" w:sz="8" w:color="auto"/>
            </w:tcBorders>
            <w:shd w:val="clear" w:color="auto" w:fill="B2B2B2"/>
          </w:tcPr>
          <w:p>
            <w:pPr>
              <w:spacing w:after="0"/>
              <w:rPr>
                <w:sz w:val="18"/>
                <w:szCs w:val="18"/>
                <w:color w:val="auto"/>
              </w:rPr>
            </w:pPr>
          </w:p>
        </w:tc>
        <w:tc>
          <w:tcPr>
            <w:tcW w:w="1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(51,375)</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440" w:type="dxa"/>
            <w:vAlign w:val="bottom"/>
            <w:tcBorders>
              <w:top w:val="single" w:sz="8" w:color="auto"/>
              <w:bottom w:val="single" w:sz="8" w:color="auto"/>
            </w:tcBorders>
            <w:shd w:val="clear" w:color="auto" w:fill="B2B2B2"/>
          </w:tcPr>
          <w:p>
            <w:pPr>
              <w:spacing w:after="0"/>
              <w:rPr>
                <w:sz w:val="18"/>
                <w:szCs w:val="18"/>
                <w:color w:val="auto"/>
              </w:rPr>
            </w:pPr>
          </w:p>
        </w:tc>
        <w:tc>
          <w:tcPr>
            <w:tcW w:w="10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(26,608)</w:t>
            </w:r>
          </w:p>
        </w:tc>
      </w:tr>
      <w:tr>
        <w:trPr>
          <w:trHeight w:val="209"/>
        </w:trPr>
        <w:tc>
          <w:tcPr>
            <w:tcW w:w="8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8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decrease in noninterest-bearing demand deposits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(62,865)</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(42,080)</w:t>
            </w: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(decrease) in interest-bearing demand and savings deposits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31,761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(26,095)</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increase in time deposits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575</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1,681</w:t>
            </w: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in accounts and drafts payable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51,639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39,892</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decrease in short-term borrowings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(3,918)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Purchase of common shares for treasury</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(5,508)</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(5,701)</w:t>
            </w:r>
          </w:p>
        </w:tc>
      </w:tr>
      <w:tr>
        <w:trPr>
          <w:trHeight w:val="215"/>
        </w:trPr>
        <w:tc>
          <w:tcPr>
            <w:tcW w:w="8100" w:type="dxa"/>
            <w:vAlign w:val="bottom"/>
          </w:tcPr>
          <w:p>
            <w:pPr>
              <w:ind w:left="40"/>
              <w:spacing w:after="0"/>
              <w:rPr>
                <w:sz w:val="20"/>
                <w:szCs w:val="20"/>
                <w:color w:val="auto"/>
              </w:rPr>
            </w:pPr>
            <w:r>
              <w:rPr>
                <w:rFonts w:ascii="Arial" w:cs="Arial" w:eastAsia="Arial" w:hAnsi="Arial"/>
                <w:sz w:val="18"/>
                <w:szCs w:val="18"/>
                <w:color w:val="auto"/>
              </w:rPr>
              <w:t>Other financing activities,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(1,229)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09"/>
        </w:trPr>
        <w:tc>
          <w:tcPr>
            <w:tcW w:w="810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bottom w:val="single" w:sz="8" w:color="auto"/>
            </w:tcBorders>
            <w:shd w:val="clear" w:color="auto" w:fill="B2B2B2"/>
          </w:tcPr>
          <w:p>
            <w:pPr>
              <w:spacing w:after="0"/>
              <w:rPr>
                <w:sz w:val="18"/>
                <w:szCs w:val="18"/>
                <w:color w:val="auto"/>
              </w:rPr>
            </w:pPr>
          </w:p>
        </w:tc>
        <w:tc>
          <w:tcPr>
            <w:tcW w:w="1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(7,545)</w:t>
            </w: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440" w:type="dxa"/>
            <w:vAlign w:val="bottom"/>
            <w:tcBorders>
              <w:top w:val="single" w:sz="8" w:color="auto"/>
              <w:bottom w:val="single" w:sz="8" w:color="auto"/>
            </w:tcBorders>
            <w:shd w:val="clear" w:color="auto" w:fill="B2B2B2"/>
          </w:tcPr>
          <w:p>
            <w:pPr>
              <w:spacing w:after="0"/>
              <w:rPr>
                <w:sz w:val="18"/>
                <w:szCs w:val="18"/>
                <w:color w:val="auto"/>
              </w:rPr>
            </w:pPr>
          </w:p>
        </w:tc>
        <w:tc>
          <w:tcPr>
            <w:tcW w:w="10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(36,406)</w:t>
            </w:r>
          </w:p>
        </w:tc>
      </w:tr>
      <w:tr>
        <w:trPr>
          <w:trHeight w:val="209"/>
        </w:trPr>
        <w:tc>
          <w:tcPr>
            <w:tcW w:w="81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(46,579)</w:t>
            </w: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203,954</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230,933</w:t>
            </w:r>
          </w:p>
        </w:tc>
      </w:tr>
      <w:tr>
        <w:trPr>
          <w:trHeight w:val="209"/>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184,354</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8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r>
      <w:tr>
        <w:trPr>
          <w:trHeight w:val="215"/>
        </w:trPr>
        <w:tc>
          <w:tcPr>
            <w:tcW w:w="8100" w:type="dxa"/>
            <w:vAlign w:val="bottom"/>
          </w:tcPr>
          <w:p>
            <w:pPr>
              <w:ind w:left="54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964</w:t>
            </w: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15"/>
        </w:trPr>
        <w:tc>
          <w:tcPr>
            <w:tcW w:w="81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142</w:t>
            </w:r>
          </w:p>
        </w:tc>
        <w:tc>
          <w:tcPr>
            <w:tcW w:w="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Treasury</w:t>
            </w:r>
          </w:p>
        </w:tc>
        <w:tc>
          <w:tcPr>
            <w:tcW w:w="1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60" w:type="dxa"/>
            <w:vAlign w:val="bottom"/>
            <w:tcBorders>
              <w:top w:val="single" w:sz="8" w:color="B2B2B2"/>
            </w:tcBorders>
            <w:shd w:val="clear" w:color="auto" w:fill="B2B2B2"/>
          </w:tcPr>
          <w:p>
            <w:pPr>
              <w:ind w:left="40"/>
              <w:spacing w:after="0"/>
              <w:rPr>
                <w:sz w:val="20"/>
                <w:szCs w:val="20"/>
                <w:color w:val="auto"/>
              </w:rPr>
            </w:pPr>
            <w:r>
              <w:rPr>
                <w:rFonts w:ascii="Arial" w:cs="Arial" w:eastAsia="Arial" w:hAnsi="Arial"/>
                <w:sz w:val="18"/>
                <w:szCs w:val="18"/>
                <w:color w:val="auto"/>
              </w:rPr>
              <w:t>Balance, December 31, 2018</w:t>
            </w:r>
          </w:p>
        </w:tc>
        <w:tc>
          <w:tcPr>
            <w:tcW w:w="34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3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205,770</w:t>
            </w:r>
          </w:p>
        </w:tc>
        <w:tc>
          <w:tcPr>
            <w:tcW w:w="34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75,171</w:t>
            </w:r>
          </w:p>
        </w:tc>
        <w:tc>
          <w:tcPr>
            <w:tcW w:w="3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(39,974)</w:t>
            </w:r>
          </w:p>
        </w:tc>
        <w:tc>
          <w:tcPr>
            <w:tcW w:w="180" w:type="dxa"/>
            <w:vAlign w:val="bottom"/>
            <w:tcBorders>
              <w:top w:val="single" w:sz="8" w:color="B2B2B2"/>
            </w:tcBorders>
            <w:shd w:val="clear" w:color="auto" w:fill="B2B2B2"/>
          </w:tcPr>
          <w:p>
            <w:pPr>
              <w:spacing w:after="0"/>
              <w:rPr>
                <w:sz w:val="18"/>
                <w:szCs w:val="18"/>
                <w:color w:val="auto"/>
              </w:rPr>
            </w:pPr>
          </w:p>
        </w:tc>
        <w:tc>
          <w:tcPr>
            <w:tcW w:w="16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(18,872)</w:t>
            </w:r>
          </w:p>
        </w:tc>
        <w:tc>
          <w:tcPr>
            <w:tcW w:w="3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229,848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94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7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8,163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Cash dividends ($.26 per share)</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320"/>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40"/>
              <w:spacing w:after="0" w:line="201" w:lineRule="exact"/>
              <w:rPr>
                <w:sz w:val="20"/>
                <w:szCs w:val="20"/>
                <w:color w:val="auto"/>
              </w:rPr>
            </w:pPr>
            <w:r>
              <w:rPr>
                <w:rFonts w:ascii="Arial" w:cs="Arial" w:eastAsia="Arial" w:hAnsi="Arial"/>
                <w:sz w:val="18"/>
                <w:szCs w:val="18"/>
                <w:color w:val="auto"/>
                <w:w w:val="88"/>
              </w:rPr>
              <w:t>Issuance of 25,124 common shares pursuant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20"/>
              <w:spacing w:after="0"/>
              <w:rPr>
                <w:sz w:val="20"/>
                <w:szCs w:val="20"/>
                <w:color w:val="auto"/>
              </w:rPr>
            </w:pPr>
            <w:r>
              <w:rPr>
                <w:rFonts w:ascii="Arial" w:cs="Arial" w:eastAsia="Arial" w:hAnsi="Arial"/>
                <w:sz w:val="18"/>
                <w:szCs w:val="18"/>
                <w:color w:val="auto"/>
                <w:w w:val="97"/>
              </w:rPr>
              <w:t>to stock-based compensation plan,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Exercise of SARs</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80" w:type="dxa"/>
            <w:vAlign w:val="bottom"/>
            <w:gridSpan w:val="2"/>
            <w:shd w:val="clear" w:color="auto" w:fill="B2B2B2"/>
          </w:tcPr>
          <w:p>
            <w:pPr>
              <w:jc w:val="right"/>
              <w:ind w:right="3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Purchase of 107,815 common shares</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(5,701)</w:t>
            </w: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5,416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B2B2B2"/>
              <w:bottom w:val="single" w:sz="8" w:color="B2B2B2"/>
            </w:tcBorders>
            <w:shd w:val="clear" w:color="auto" w:fill="B2B2B2"/>
          </w:tcPr>
          <w:p>
            <w:pPr>
              <w:ind w:left="40"/>
              <w:spacing w:after="0"/>
              <w:rPr>
                <w:sz w:val="20"/>
                <w:szCs w:val="20"/>
                <w:color w:val="auto"/>
              </w:rPr>
            </w:pPr>
            <w:r>
              <w:rPr>
                <w:rFonts w:ascii="Arial" w:cs="Arial" w:eastAsia="Arial" w:hAnsi="Arial"/>
                <w:sz w:val="18"/>
                <w:szCs w:val="18"/>
                <w:color w:val="auto"/>
              </w:rPr>
              <w:t>Balance, March 31, 2019</w:t>
            </w:r>
          </w:p>
        </w:tc>
        <w:tc>
          <w:tcPr>
            <w:tcW w:w="34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32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205,310</w:t>
            </w:r>
          </w:p>
        </w:tc>
        <w:tc>
          <w:tcPr>
            <w:tcW w:w="34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79,558</w:t>
            </w:r>
          </w:p>
        </w:tc>
        <w:tc>
          <w:tcPr>
            <w:tcW w:w="320" w:type="dxa"/>
            <w:vAlign w:val="bottom"/>
            <w:tcBorders>
              <w:top w:val="single" w:sz="8" w:color="B2B2B2"/>
              <w:bottom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(44,685)</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16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(13,456)</w:t>
            </w:r>
          </w:p>
        </w:tc>
        <w:tc>
          <w:tcPr>
            <w:tcW w:w="34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auto"/>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60" w:type="dxa"/>
            <w:vAlign w:val="bottom"/>
            <w:tcBorders>
              <w:bottom w:val="single" w:sz="8" w:color="auto"/>
            </w:tcBorders>
            <w:shd w:val="clear" w:color="auto" w:fill="B2B2B2"/>
          </w:tcPr>
          <w:p>
            <w:pPr>
              <w:spacing w:after="0"/>
              <w:rPr>
                <w:sz w:val="14"/>
                <w:szCs w:val="14"/>
                <w:color w:val="auto"/>
              </w:rPr>
            </w:pPr>
          </w:p>
        </w:tc>
        <w:tc>
          <w:tcPr>
            <w:tcW w:w="340" w:type="dxa"/>
            <w:vAlign w:val="bottom"/>
            <w:tcBorders>
              <w:bottom w:val="single" w:sz="8" w:color="auto"/>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800" w:type="dxa"/>
            <w:vAlign w:val="bottom"/>
            <w:tcBorders>
              <w:bottom w:val="single" w:sz="8" w:color="auto"/>
            </w:tcBorders>
            <w:shd w:val="clear" w:color="auto" w:fill="B2B2B2"/>
          </w:tcPr>
          <w:p>
            <w:pPr>
              <w:spacing w:after="0"/>
              <w:rPr>
                <w:sz w:val="14"/>
                <w:szCs w:val="14"/>
                <w:color w:val="auto"/>
              </w:rPr>
            </w:pPr>
          </w:p>
        </w:tc>
        <w:tc>
          <w:tcPr>
            <w:tcW w:w="320" w:type="dxa"/>
            <w:vAlign w:val="bottom"/>
            <w:tcBorders>
              <w:bottom w:val="single" w:sz="8" w:color="auto"/>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940" w:type="dxa"/>
            <w:vAlign w:val="bottom"/>
            <w:tcBorders>
              <w:bottom w:val="single" w:sz="8" w:color="auto"/>
            </w:tcBorders>
            <w:shd w:val="clear" w:color="auto" w:fill="B2B2B2"/>
          </w:tcPr>
          <w:p>
            <w:pPr>
              <w:spacing w:after="0"/>
              <w:rPr>
                <w:sz w:val="14"/>
                <w:szCs w:val="14"/>
                <w:color w:val="auto"/>
              </w:rPr>
            </w:pPr>
          </w:p>
        </w:tc>
        <w:tc>
          <w:tcPr>
            <w:tcW w:w="340" w:type="dxa"/>
            <w:vAlign w:val="bottom"/>
            <w:tcBorders>
              <w:bottom w:val="single" w:sz="8" w:color="auto"/>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800" w:type="dxa"/>
            <w:vAlign w:val="bottom"/>
            <w:tcBorders>
              <w:bottom w:val="single" w:sz="8" w:color="auto"/>
            </w:tcBorders>
            <w:shd w:val="clear" w:color="auto" w:fill="B2B2B2"/>
          </w:tcPr>
          <w:p>
            <w:pPr>
              <w:spacing w:after="0"/>
              <w:rPr>
                <w:sz w:val="14"/>
                <w:szCs w:val="14"/>
                <w:color w:val="auto"/>
              </w:rPr>
            </w:pPr>
          </w:p>
        </w:tc>
        <w:tc>
          <w:tcPr>
            <w:tcW w:w="320" w:type="dxa"/>
            <w:vAlign w:val="bottom"/>
            <w:tcBorders>
              <w:bottom w:val="single" w:sz="8" w:color="auto"/>
            </w:tcBorders>
            <w:shd w:val="clear" w:color="auto" w:fill="B2B2B2"/>
          </w:tcPr>
          <w:p>
            <w:pPr>
              <w:spacing w:after="0"/>
              <w:rPr>
                <w:sz w:val="14"/>
                <w:szCs w:val="14"/>
                <w:color w:val="auto"/>
              </w:rPr>
            </w:pPr>
          </w:p>
        </w:tc>
        <w:tc>
          <w:tcPr>
            <w:tcW w:w="120" w:type="dxa"/>
            <w:vAlign w:val="bottom"/>
            <w:tcBorders>
              <w:bottom w:val="single" w:sz="8" w:color="auto"/>
            </w:tcBorders>
            <w:shd w:val="clear" w:color="auto" w:fill="B2B2B2"/>
          </w:tcPr>
          <w:p>
            <w:pPr>
              <w:spacing w:after="0"/>
              <w:rPr>
                <w:sz w:val="14"/>
                <w:szCs w:val="14"/>
                <w:color w:val="auto"/>
              </w:rPr>
            </w:pPr>
          </w:p>
        </w:tc>
        <w:tc>
          <w:tcPr>
            <w:tcW w:w="8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160" w:type="dxa"/>
            <w:vAlign w:val="bottom"/>
            <w:tcBorders>
              <w:bottom w:val="single" w:sz="8" w:color="auto"/>
            </w:tcBorders>
            <w:shd w:val="clear" w:color="auto" w:fill="B2B2B2"/>
          </w:tcPr>
          <w:p>
            <w:pPr>
              <w:spacing w:after="0"/>
              <w:rPr>
                <w:sz w:val="14"/>
                <w:szCs w:val="14"/>
                <w:color w:val="auto"/>
              </w:rPr>
            </w:pPr>
          </w:p>
        </w:tc>
        <w:tc>
          <w:tcPr>
            <w:tcW w:w="100" w:type="dxa"/>
            <w:vAlign w:val="bottom"/>
            <w:tcBorders>
              <w:bottom w:val="single" w:sz="8" w:color="auto"/>
            </w:tcBorders>
            <w:shd w:val="clear" w:color="auto" w:fill="B2B2B2"/>
          </w:tcPr>
          <w:p>
            <w:pPr>
              <w:spacing w:after="0"/>
              <w:rPr>
                <w:sz w:val="14"/>
                <w:szCs w:val="14"/>
                <w:color w:val="auto"/>
              </w:rPr>
            </w:pPr>
          </w:p>
        </w:tc>
        <w:tc>
          <w:tcPr>
            <w:tcW w:w="1120" w:type="dxa"/>
            <w:vAlign w:val="bottom"/>
            <w:tcBorders>
              <w:bottom w:val="single" w:sz="8" w:color="auto"/>
            </w:tcBorders>
            <w:shd w:val="clear" w:color="auto" w:fill="B2B2B2"/>
          </w:tcPr>
          <w:p>
            <w:pPr>
              <w:spacing w:after="0"/>
              <w:rPr>
                <w:sz w:val="14"/>
                <w:szCs w:val="14"/>
                <w:color w:val="auto"/>
              </w:rPr>
            </w:pPr>
          </w:p>
        </w:tc>
        <w:tc>
          <w:tcPr>
            <w:tcW w:w="340" w:type="dxa"/>
            <w:vAlign w:val="bottom"/>
            <w:tcBorders>
              <w:bottom w:val="single" w:sz="8" w:color="auto"/>
            </w:tcBorders>
            <w:shd w:val="clear" w:color="auto" w:fill="B2B2B2"/>
          </w:tcPr>
          <w:p>
            <w:pPr>
              <w:spacing w:after="0"/>
              <w:rPr>
                <w:sz w:val="14"/>
                <w:szCs w:val="14"/>
                <w:color w:val="auto"/>
              </w:rPr>
            </w:pPr>
          </w:p>
        </w:tc>
        <w:tc>
          <w:tcPr>
            <w:tcW w:w="180" w:type="dxa"/>
            <w:vAlign w:val="bottom"/>
            <w:tcBorders>
              <w:bottom w:val="single" w:sz="8" w:color="auto"/>
            </w:tcBorders>
            <w:shd w:val="clear" w:color="auto" w:fill="B2B2B2"/>
          </w:tcPr>
          <w:p>
            <w:pPr>
              <w:spacing w:after="0"/>
              <w:rPr>
                <w:sz w:val="14"/>
                <w:szCs w:val="14"/>
                <w:color w:val="auto"/>
              </w:rPr>
            </w:pPr>
          </w:p>
        </w:tc>
        <w:tc>
          <w:tcPr>
            <w:tcW w:w="780" w:type="dxa"/>
            <w:vAlign w:val="bottom"/>
            <w:tcBorders>
              <w:bottom w:val="single" w:sz="8" w:color="auto"/>
            </w:tcBorders>
            <w:shd w:val="clear" w:color="auto" w:fill="B2B2B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December 31, 2019</w:t>
            </w:r>
          </w:p>
        </w:tc>
        <w:tc>
          <w:tcPr>
            <w:tcW w:w="4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2B2B2"/>
          </w:tcPr>
          <w:p>
            <w:pPr>
              <w:jc w:val="right"/>
              <w:ind w:right="320"/>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205,397</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B2B2B2"/>
          </w:tcPr>
          <w:p>
            <w:pPr>
              <w:jc w:val="right"/>
              <w:ind w:right="320"/>
              <w:spacing w:after="0"/>
              <w:rPr>
                <w:sz w:val="20"/>
                <w:szCs w:val="20"/>
                <w:color w:val="auto"/>
              </w:rPr>
            </w:pPr>
            <w:r>
              <w:rPr>
                <w:rFonts w:ascii="Arial" w:cs="Arial" w:eastAsia="Arial" w:hAnsi="Arial"/>
                <w:sz w:val="18"/>
                <w:szCs w:val="18"/>
                <w:color w:val="auto"/>
              </w:rPr>
              <w:t>90,341</w:t>
            </w:r>
          </w:p>
        </w:tc>
        <w:tc>
          <w:tcPr>
            <w:tcW w:w="1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(45,381)</w:t>
            </w:r>
          </w:p>
        </w:tc>
        <w:tc>
          <w:tcPr>
            <w:tcW w:w="260" w:type="dxa"/>
            <w:vAlign w:val="bottom"/>
            <w:gridSpan w:val="2"/>
            <w:shd w:val="clear" w:color="auto" w:fill="B2B2B2"/>
          </w:tcPr>
          <w:p>
            <w:pPr>
              <w:ind w:left="1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B2B2B2"/>
          </w:tcPr>
          <w:p>
            <w:pPr>
              <w:jc w:val="right"/>
              <w:ind w:right="340"/>
              <w:spacing w:after="0"/>
              <w:rPr>
                <w:sz w:val="20"/>
                <w:szCs w:val="20"/>
                <w:color w:val="auto"/>
              </w:rPr>
            </w:pPr>
            <w:r>
              <w:rPr>
                <w:rFonts w:ascii="Arial" w:cs="Arial" w:eastAsia="Arial" w:hAnsi="Arial"/>
                <w:sz w:val="18"/>
                <w:szCs w:val="18"/>
                <w:color w:val="auto"/>
              </w:rPr>
              <w:t>(13,920)</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244,190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94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800" w:type="dxa"/>
            <w:vAlign w:val="bottom"/>
            <w:shd w:val="clear" w:color="auto" w:fill="B2B2B2"/>
          </w:tcPr>
          <w:p>
            <w:pPr>
              <w:spacing w:after="0"/>
              <w:rPr>
                <w:sz w:val="15"/>
                <w:szCs w:val="15"/>
                <w:color w:val="auto"/>
              </w:rPr>
            </w:pPr>
          </w:p>
        </w:tc>
        <w:tc>
          <w:tcPr>
            <w:tcW w:w="32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8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3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7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7,545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Cash dividends ($.27 per share)</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320"/>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40"/>
              <w:spacing w:after="0" w:line="201" w:lineRule="exact"/>
              <w:rPr>
                <w:sz w:val="20"/>
                <w:szCs w:val="20"/>
                <w:color w:val="auto"/>
              </w:rPr>
            </w:pPr>
            <w:r>
              <w:rPr>
                <w:rFonts w:ascii="Arial" w:cs="Arial" w:eastAsia="Arial" w:hAnsi="Arial"/>
                <w:sz w:val="18"/>
                <w:szCs w:val="18"/>
                <w:color w:val="auto"/>
                <w:w w:val="88"/>
              </w:rPr>
              <w:t>Issuance of 57,333 common shares pursuant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20"/>
              <w:spacing w:after="0"/>
              <w:rPr>
                <w:sz w:val="20"/>
                <w:szCs w:val="20"/>
                <w:color w:val="auto"/>
              </w:rPr>
            </w:pPr>
            <w:r>
              <w:rPr>
                <w:rFonts w:ascii="Arial" w:cs="Arial" w:eastAsia="Arial" w:hAnsi="Arial"/>
                <w:sz w:val="18"/>
                <w:szCs w:val="18"/>
                <w:color w:val="auto"/>
                <w:w w:val="97"/>
              </w:rPr>
              <w:t>to stock-based compensation plan,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Exercise of SARs</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80" w:type="dxa"/>
            <w:vAlign w:val="bottom"/>
            <w:gridSpan w:val="2"/>
            <w:shd w:val="clear" w:color="auto" w:fill="B2B2B2"/>
          </w:tcPr>
          <w:p>
            <w:pPr>
              <w:jc w:val="right"/>
              <w:ind w:right="3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B2B2B2"/>
          </w:tcPr>
          <w:p>
            <w:pPr>
              <w:ind w:left="40"/>
              <w:spacing w:after="0"/>
              <w:rPr>
                <w:sz w:val="20"/>
                <w:szCs w:val="20"/>
                <w:color w:val="auto"/>
              </w:rPr>
            </w:pPr>
            <w:r>
              <w:rPr>
                <w:rFonts w:ascii="Arial" w:cs="Arial" w:eastAsia="Arial" w:hAnsi="Arial"/>
                <w:sz w:val="18"/>
                <w:szCs w:val="18"/>
                <w:color w:val="auto"/>
              </w:rPr>
              <w:t>Purchase of 128,779 common shares</w:t>
            </w: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(5,508)</w:t>
            </w:r>
          </w:p>
        </w:tc>
        <w:tc>
          <w:tcPr>
            <w:tcW w:w="1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B2B2B2"/>
            </w:tcBorders>
            <w:shd w:val="clear" w:color="auto" w:fill="B2B2B2"/>
          </w:tcPr>
          <w:p>
            <w:pPr>
              <w:ind w:left="40"/>
              <w:spacing w:after="0"/>
              <w:rPr>
                <w:sz w:val="20"/>
                <w:szCs w:val="20"/>
                <w:color w:val="auto"/>
              </w:rPr>
            </w:pPr>
            <w:r>
              <w:rPr>
                <w:rFonts w:ascii="Arial" w:cs="Arial" w:eastAsia="Arial" w:hAnsi="Arial"/>
                <w:sz w:val="18"/>
                <w:szCs w:val="18"/>
                <w:color w:val="auto"/>
              </w:rPr>
              <w:t>Balance, March 31, 2020</w:t>
            </w:r>
          </w:p>
        </w:tc>
        <w:tc>
          <w:tcPr>
            <w:tcW w:w="34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3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203,801</w:t>
            </w:r>
          </w:p>
        </w:tc>
        <w:tc>
          <w:tcPr>
            <w:tcW w:w="34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93,968</w:t>
            </w:r>
          </w:p>
        </w:tc>
        <w:tc>
          <w:tcPr>
            <w:tcW w:w="3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(49,800)</w:t>
            </w:r>
          </w:p>
        </w:tc>
        <w:tc>
          <w:tcPr>
            <w:tcW w:w="180" w:type="dxa"/>
            <w:vAlign w:val="bottom"/>
            <w:tcBorders>
              <w:top w:val="single" w:sz="8" w:color="B2B2B2"/>
            </w:tcBorders>
            <w:shd w:val="clear" w:color="auto" w:fill="B2B2B2"/>
          </w:tcPr>
          <w:p>
            <w:pPr>
              <w:spacing w:after="0"/>
              <w:rPr>
                <w:sz w:val="18"/>
                <w:szCs w:val="18"/>
                <w:color w:val="auto"/>
              </w:rPr>
            </w:pPr>
          </w:p>
        </w:tc>
        <w:tc>
          <w:tcPr>
            <w:tcW w:w="16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(14,439)</w:t>
            </w:r>
          </w:p>
        </w:tc>
        <w:tc>
          <w:tcPr>
            <w:tcW w:w="34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global pandemic, which continues to spread throughout the United States and around the world. The declaration of a global pandemic indicates that almost all public commerce and related business activities must be, to varying degrees, curtailed with the goal of decreasing the rate of new infections.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evaluated subsequent events after the consolidated balance sheet date of March 31, 2020. The breadth of the impact of the global emergence of COVID-19 on the Company’s business is currently unknown. Cass is closely monitoring developments related to COVID-19 checking regularly for updated information and recommendations from the World Health Organization and the U.S. Centers for Disease Control and Prevention, from national, state, and local governments, and courses of action being taken by peers.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Financial position and results of operations - </w:t>
      </w:r>
      <w:r>
        <w:rPr>
          <w:rFonts w:ascii="Arial" w:cs="Arial" w:eastAsia="Arial" w:hAnsi="Arial"/>
          <w:sz w:val="17"/>
          <w:szCs w:val="17"/>
          <w:color w:val="auto"/>
        </w:rPr>
        <w:t>The global health crisis caused by COVID-19 has and will continue to negatively impact business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world. The COVID-19 outbreak and associated counter-acting measures implemented by governments around the world, as well as increased business uncertainty, are having an adverse impact on the Company’s financial results and are discussed in more detail below.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could occur, the potential impact that COVID-19 could have on the Company’s financial condition and operating results remains highly uncertain.</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response to COVID-19, the Federal Reserve has taken action to lower the Federal Funds rate, which has adversely affected interest income and therefore, the Company’s results of operations and financial condition.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business disruption continues for an extended period, additional cost management actions will be considered. Any future asset impairment charges, increases in allowance for loan losses, or restructuring charges could be more likely and will be dependent on the severity and duration of this crisis.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payment processing services, business closures, including constrictions in the manufacturing sector, have led to a decrease in the number of transactions and dollars processed due to the decline in customers’ business activity. In addition, the dampened demand for oil and resulting plummet in oil prices has had, and can continue to have, a negative effect on both the number of freight transactions processed and the dollar amount of invoices processed. Other financial impact could occur though such potential impact is unknown at this time.</w:t>
      </w:r>
    </w:p>
    <w:p>
      <w:pPr>
        <w:spacing w:after="0" w:line="16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Lending operations and credit </w:t>
      </w:r>
      <w:r>
        <w:rPr>
          <w:rFonts w:ascii="Arial" w:cs="Arial" w:eastAsia="Arial" w:hAnsi="Arial"/>
          <w:sz w:val="16"/>
          <w:szCs w:val="16"/>
          <w:color w:val="auto"/>
        </w:rPr>
        <w:t>- Bank regulatory agencies and various governmental authorities are urging financial institutions to work prudently with</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who are or may be unable to meet their contractual payment obligations because of the effects of COVID-19. Accordingly, and in coordination with its primary regulators, the Company has deferred borrower principal payments on loans, on an as needed basis, for periods of up to six months.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Capital and liquidity - </w:t>
      </w:r>
      <w:r>
        <w:rPr>
          <w:rFonts w:ascii="Arial" w:cs="Arial" w:eastAsia="Arial" w:hAnsi="Arial"/>
          <w:sz w:val="18"/>
          <w:szCs w:val="18"/>
          <w:color w:val="auto"/>
        </w:rPr>
        <w:t>While the Company believes that it has sufficient capital to withstand an extended economic recession brought about by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its reported and regulatory capital ratios could be adversely impacted by future financial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8"/>
          <w:szCs w:val="18"/>
          <w:color w:val="auto"/>
        </w:rPr>
        <w:t>The Company maintains access to multiple sources of liquidity. Wholesale funding markets have remained available, but rates for short term funding have recently been volatile. If funding costs are elevated for an extended period of time, it could have an adverse effect on the Company’s net interest margin. If an extended recession caused large numbers of the Bank’s customers to draw down deposits, the Company might become more reliant on volatile or more expensive sources of funding.</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Asset valuation - </w:t>
      </w:r>
      <w:r>
        <w:rPr>
          <w:rFonts w:ascii="Arial" w:cs="Arial" w:eastAsia="Arial" w:hAnsi="Arial"/>
          <w:sz w:val="18"/>
          <w:szCs w:val="18"/>
          <w:color w:val="auto"/>
        </w:rPr>
        <w:t>Currently, the Company does not expect COVID-19 to affect its ability to fairly value the assets on its balance sheet; however, this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COVID-19 could cause a further and sustained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Processes, controls and business continuity - </w:t>
      </w:r>
      <w:r>
        <w:rPr>
          <w:rFonts w:ascii="Arial" w:cs="Arial" w:eastAsia="Arial" w:hAnsi="Arial"/>
          <w:sz w:val="18"/>
          <w:szCs w:val="18"/>
          <w:color w:val="auto"/>
        </w:rPr>
        <w:t>In accord with its federally mandated Pandemic Plan and Business Continuity Plan, Cass has deployed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remote workforce program. Most Cass employees around the globe are now working and conducting business remotely. Only employees necessary to oversee certain business coordination activities or to conduct essential physical activities such as mail handling and scanning operations, remain in offices. 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begin to lift the actions put in place as part of the Business Continuity Plan, including work from home requirements and travel restrictions. As of the date of this filing, Cass does not believe the work from home protocol has materially adversely impacted internal controls, financial reporting systems, or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Company accounts for intangible assets in accordance with Financial Accounting Standards Board (“FASB”) Accounting Standards Codification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7"/>
        </w:trPr>
        <w:tc>
          <w:tcPr>
            <w:tcW w:w="6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2020</w:t>
            </w: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December 31, 2019</w:t>
            </w:r>
          </w:p>
        </w:tc>
      </w:tr>
      <w:tr>
        <w:trPr>
          <w:trHeight w:val="197"/>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90"/>
              <w:spacing w:after="0" w:line="197" w:lineRule="exact"/>
              <w:rPr>
                <w:sz w:val="20"/>
                <w:szCs w:val="20"/>
                <w:color w:val="auto"/>
              </w:rPr>
            </w:pPr>
            <w:r>
              <w:rPr>
                <w:rFonts w:ascii="Arial" w:cs="Arial" w:eastAsia="Arial" w:hAnsi="Arial"/>
                <w:sz w:val="18"/>
                <w:szCs w:val="18"/>
                <w:b w:val="1"/>
                <w:bCs w:val="1"/>
                <w:color w:val="auto"/>
                <w:w w:val="84"/>
              </w:rPr>
              <w:t>Gross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Accumulated</w:t>
            </w:r>
          </w:p>
        </w:tc>
      </w:tr>
      <w:tr>
        <w:trPr>
          <w:trHeight w:val="241"/>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15"/>
        </w:trPr>
        <w:tc>
          <w:tcPr>
            <w:tcW w:w="6320" w:type="dxa"/>
            <w:vAlign w:val="bottom"/>
            <w:shd w:val="clear" w:color="auto" w:fill="B2B2B2"/>
          </w:tcPr>
          <w:p>
            <w:pPr>
              <w:ind w:left="40"/>
              <w:spacing w:after="0"/>
              <w:rPr>
                <w:sz w:val="20"/>
                <w:szCs w:val="20"/>
                <w:color w:val="auto"/>
              </w:rPr>
            </w:pPr>
            <w:r>
              <w:rPr>
                <w:rFonts w:ascii="Arial" w:cs="Arial" w:eastAsia="Arial" w:hAnsi="Arial"/>
                <w:sz w:val="18"/>
                <w:szCs w:val="18"/>
                <w:color w:val="auto"/>
              </w:rPr>
              <w:t>Assets eligible for amortization:</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15"/>
        </w:trPr>
        <w:tc>
          <w:tcPr>
            <w:tcW w:w="632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4,778</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(3,573)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w:t>
            </w:r>
          </w:p>
        </w:tc>
      </w:tr>
      <w:tr>
        <w:trPr>
          <w:trHeight w:val="215"/>
        </w:trPr>
        <w:tc>
          <w:tcPr>
            <w:tcW w:w="632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(358)</w:t>
            </w:r>
          </w:p>
        </w:tc>
      </w:tr>
      <w:tr>
        <w:trPr>
          <w:trHeight w:val="215"/>
        </w:trPr>
        <w:tc>
          <w:tcPr>
            <w:tcW w:w="63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w:t>
            </w:r>
          </w:p>
        </w:tc>
      </w:tr>
      <w:tr>
        <w:trPr>
          <w:trHeight w:val="215"/>
        </w:trPr>
        <w:tc>
          <w:tcPr>
            <w:tcW w:w="6320" w:type="dxa"/>
            <w:vAlign w:val="bottom"/>
          </w:tcPr>
          <w:p>
            <w:pPr>
              <w:ind w:left="40"/>
              <w:spacing w:after="0"/>
              <w:rPr>
                <w:sz w:val="20"/>
                <w:szCs w:val="20"/>
                <w:color w:val="auto"/>
              </w:rPr>
            </w:pPr>
            <w:r>
              <w:rPr>
                <w:rFonts w:ascii="Arial" w:cs="Arial" w:eastAsia="Arial" w:hAnsi="Arial"/>
                <w:sz w:val="18"/>
                <w:szCs w:val="18"/>
                <w:color w:val="auto"/>
              </w:rPr>
              <w:t>Unamortized intangible assets: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6"/>
        </w:trPr>
        <w:tc>
          <w:tcPr>
            <w:tcW w:w="6320" w:type="dxa"/>
            <w:vAlign w:val="bottom"/>
            <w:tcBorders>
              <w:bottom w:val="single" w:sz="8" w:color="auto"/>
            </w:tcBorders>
            <w:shd w:val="clear" w:color="auto" w:fill="B2B2B2"/>
          </w:tcPr>
          <w:p>
            <w:pPr>
              <w:ind w:left="180"/>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260" w:type="dxa"/>
            <w:vAlign w:val="bottom"/>
            <w:tcBorders>
              <w:bottom w:val="single" w:sz="8" w:color="auto"/>
            </w:tcBorders>
            <w:shd w:val="clear" w:color="auto" w:fill="B2B2B2"/>
          </w:tcPr>
          <w:p>
            <w:pPr>
              <w:spacing w:after="0"/>
              <w:rPr>
                <w:sz w:val="22"/>
                <w:szCs w:val="22"/>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620" w:type="dxa"/>
            <w:vAlign w:val="bottom"/>
            <w:tcBorders>
              <w:bottom w:val="single" w:sz="8" w:color="auto"/>
            </w:tcBorders>
            <w:shd w:val="clear" w:color="auto" w:fill="B2B2B2"/>
          </w:tcPr>
          <w:p>
            <w:pPr>
              <w:spacing w:after="0"/>
              <w:rPr>
                <w:sz w:val="22"/>
                <w:szCs w:val="22"/>
                <w:color w:val="auto"/>
              </w:rPr>
            </w:pPr>
          </w:p>
        </w:tc>
        <w:tc>
          <w:tcPr>
            <w:tcW w:w="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400" w:type="dxa"/>
            <w:vAlign w:val="bottom"/>
            <w:tcBorders>
              <w:bottom w:val="single" w:sz="8" w:color="auto"/>
            </w:tcBorders>
            <w:shd w:val="clear" w:color="auto" w:fill="B2B2B2"/>
          </w:tcPr>
          <w:p>
            <w:pPr>
              <w:spacing w:after="0"/>
              <w:rPr>
                <w:sz w:val="22"/>
                <w:szCs w:val="22"/>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632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23,205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(4,877)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tabs>
          <w:tab w:leader="none" w:pos="220" w:val="left"/>
        </w:tabs>
        <w:numPr>
          <w:ilvl w:val="0"/>
          <w:numId w:val="3"/>
        </w:numPr>
        <w:rPr>
          <w:rFonts w:ascii="Arial" w:cs="Arial" w:eastAsia="Arial" w:hAnsi="Arial"/>
          <w:sz w:val="12"/>
          <w:szCs w:val="12"/>
          <w:color w:val="auto"/>
        </w:rPr>
      </w:pPr>
      <w:r>
        <w:rPr>
          <w:rFonts w:ascii="Arial" w:cs="Arial" w:eastAsia="Arial" w:hAnsi="Arial"/>
          <w:sz w:val="14"/>
          <w:szCs w:val="14"/>
          <w:color w:val="auto"/>
        </w:rPr>
        <w:t>Amortization through December 31, 2001 prior to adoption of FASB ASC 350.</w:t>
      </w:r>
    </w:p>
    <w:p>
      <w:pPr>
        <w:spacing w:after="0" w:line="3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$215,000 and $107,000 for the three-month periods ended March 31, 2020 and 2019, respectively. Estimated future amortization of intangibles is $859,000 in both 2020 and 2021, $540,000 in both 2022 and 2023, and $498,000 in 2024.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 3 – Earnings Per Share</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 The calculations of basic and diluted earnings per share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r>
      <w:tr>
        <w:trPr>
          <w:trHeight w:val="241"/>
        </w:trPr>
        <w:tc>
          <w:tcPr>
            <w:tcW w:w="8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31,</w:t>
            </w:r>
          </w:p>
        </w:tc>
      </w:tr>
      <w:tr>
        <w:trPr>
          <w:trHeight w:val="215"/>
        </w:trPr>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09"/>
        </w:trPr>
        <w:tc>
          <w:tcPr>
            <w:tcW w:w="8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8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8,163</w:t>
            </w:r>
          </w:p>
        </w:tc>
      </w:tr>
      <w:tr>
        <w:trPr>
          <w:trHeight w:val="215"/>
        </w:trPr>
        <w:tc>
          <w:tcPr>
            <w:tcW w:w="87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14,422,813</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14,455,527</w:t>
            </w:r>
          </w:p>
        </w:tc>
      </w:tr>
      <w:tr>
        <w:trPr>
          <w:trHeight w:val="215"/>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8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8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8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8,163</w:t>
            </w:r>
          </w:p>
        </w:tc>
      </w:tr>
      <w:tr>
        <w:trPr>
          <w:trHeight w:val="215"/>
        </w:trPr>
        <w:tc>
          <w:tcPr>
            <w:tcW w:w="87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14,422,813</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14,455,527</w:t>
            </w:r>
          </w:p>
        </w:tc>
      </w:tr>
      <w:tr>
        <w:trPr>
          <w:trHeight w:val="215"/>
        </w:trPr>
        <w:tc>
          <w:tcPr>
            <w:tcW w:w="8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253,168</w:t>
            </w:r>
          </w:p>
        </w:tc>
      </w:tr>
      <w:tr>
        <w:trPr>
          <w:trHeight w:val="209"/>
        </w:trPr>
        <w:tc>
          <w:tcPr>
            <w:tcW w:w="87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 assuming dilution</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14,630,513</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14,708,695</w:t>
            </w:r>
          </w:p>
        </w:tc>
      </w:tr>
      <w:tr>
        <w:trPr>
          <w:trHeight w:val="222"/>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on October 22, 2019, the program provides that the Company may repurchase up to an aggregate of 500,000 shares of common stock and has no expiration date. The Company repurchased 128,779 shares during the three-month period ended March 31, 2020 and 107,815 shares during the three-month period ended March 31, 2019. As of March 31, 2020, 371,221 shares remained available for repurchase under the program. Repurchases may be made in the open market or through negotiated transactions from time to time depending on market conditions. As of March 16, 2020, the Company has temporarily suspended the treasury stock buyback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2019.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7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5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 w:name="page11"/>
    <w:bookmarkEnd w:id="10"/>
    <w:p>
      <w:pPr>
        <w:ind w:left="560" w:hanging="229"/>
        <w:spacing w:after="0"/>
        <w:tabs>
          <w:tab w:leader="none" w:pos="560" w:val="left"/>
        </w:tabs>
        <w:numPr>
          <w:ilvl w:val="0"/>
          <w:numId w:val="4"/>
        </w:numPr>
        <w:rPr>
          <w:rFonts w:ascii="Arial" w:cs="Arial" w:eastAsia="Arial" w:hAnsi="Arial"/>
          <w:sz w:val="32"/>
          <w:szCs w:val="32"/>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68" w:lineRule="exact"/>
        <w:rPr>
          <w:rFonts w:ascii="Arial" w:cs="Arial" w:eastAsia="Arial" w:hAnsi="Arial"/>
          <w:sz w:val="32"/>
          <w:szCs w:val="32"/>
          <w:color w:val="auto"/>
        </w:rPr>
      </w:pPr>
    </w:p>
    <w:p>
      <w:pPr>
        <w:ind w:left="560" w:hanging="229"/>
        <w:spacing w:after="0" w:line="186" w:lineRule="auto"/>
        <w:tabs>
          <w:tab w:leader="none" w:pos="560" w:val="left"/>
        </w:tabs>
        <w:numPr>
          <w:ilvl w:val="0"/>
          <w:numId w:val="4"/>
        </w:numPr>
        <w:rPr>
          <w:rFonts w:ascii="Arial" w:cs="Arial" w:eastAsia="Arial" w:hAnsi="Arial"/>
          <w:sz w:val="24"/>
          <w:szCs w:val="24"/>
          <w:color w:val="auto"/>
        </w:rPr>
      </w:pPr>
      <w:r>
        <w:rPr>
          <w:rFonts w:ascii="Arial" w:cs="Arial" w:eastAsia="Arial" w:hAnsi="Arial"/>
          <w:sz w:val="15"/>
          <w:szCs w:val="15"/>
          <w:color w:val="auto"/>
        </w:rPr>
        <w:t>Banking Services – a variable rate that is based upon the overall performance of the Company’s earning assets.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5"/>
        </w:trPr>
        <w:tc>
          <w:tcPr>
            <w:tcW w:w="4820" w:type="dxa"/>
            <w:vAlign w:val="bottom"/>
          </w:tcPr>
          <w:p>
            <w:pPr>
              <w:spacing w:after="0"/>
              <w:rPr>
                <w:sz w:val="18"/>
                <w:szCs w:val="18"/>
                <w:color w:val="auto"/>
              </w:rPr>
            </w:pPr>
          </w:p>
        </w:tc>
        <w:tc>
          <w:tcPr>
            <w:tcW w:w="3160" w:type="dxa"/>
            <w:vAlign w:val="bottom"/>
            <w:gridSpan w:val="2"/>
          </w:tcPr>
          <w:p>
            <w:pPr>
              <w:ind w:left="2100"/>
              <w:spacing w:after="0"/>
              <w:rPr>
                <w:sz w:val="20"/>
                <w:szCs w:val="20"/>
                <w:color w:val="auto"/>
              </w:rPr>
            </w:pPr>
            <w:r>
              <w:rPr>
                <w:rFonts w:ascii="Arial" w:cs="Arial" w:eastAsia="Arial" w:hAnsi="Arial"/>
                <w:sz w:val="18"/>
                <w:szCs w:val="18"/>
                <w:b w:val="1"/>
                <w:bCs w:val="1"/>
                <w:color w:val="auto"/>
              </w:rPr>
              <w:t>Information</w:t>
            </w: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Banking</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Eliminations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1"/>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Services</w:t>
            </w:r>
          </w:p>
        </w:tc>
        <w:tc>
          <w:tcPr>
            <w:tcW w:w="11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and Other</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15"/>
        </w:trPr>
        <w:tc>
          <w:tcPr>
            <w:tcW w:w="4820" w:type="dxa"/>
            <w:vAlign w:val="bottom"/>
            <w:shd w:val="clear" w:color="auto" w:fill="B2B2B2"/>
          </w:tcPr>
          <w:p>
            <w:pPr>
              <w:ind w:left="40"/>
              <w:spacing w:after="0"/>
              <w:rPr>
                <w:sz w:val="20"/>
                <w:szCs w:val="20"/>
                <w:color w:val="auto"/>
              </w:rPr>
            </w:pPr>
            <w:r>
              <w:rPr>
                <w:rFonts w:ascii="Arial" w:cs="Arial" w:eastAsia="Arial" w:hAnsi="Arial"/>
                <w:sz w:val="18"/>
                <w:szCs w:val="18"/>
                <w:i w:val="1"/>
                <w:iCs w:val="1"/>
                <w:color w:val="auto"/>
              </w:rPr>
              <w:t>Three Months Ended March 31, 2020</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2220" w:type="dxa"/>
            <w:vAlign w:val="bottom"/>
          </w:tcPr>
          <w:p>
            <w:pPr>
              <w:ind w:left="20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27,095</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5,791</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7,284</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12,822</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4,066</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833,774</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926,445</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(28,237)</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1,731,982</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Funding Sources</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677,829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611,135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1,288,964</w:t>
            </w:r>
          </w:p>
        </w:tc>
      </w:tr>
      <w:tr>
        <w:trPr>
          <w:trHeight w:val="215"/>
        </w:trPr>
        <w:tc>
          <w:tcPr>
            <w:tcW w:w="4820" w:type="dxa"/>
            <w:vAlign w:val="bottom"/>
            <w:shd w:val="clear" w:color="auto" w:fill="B2B2B2"/>
          </w:tcPr>
          <w:p>
            <w:pPr>
              <w:ind w:left="40"/>
              <w:spacing w:after="0"/>
              <w:rPr>
                <w:sz w:val="20"/>
                <w:szCs w:val="20"/>
                <w:color w:val="auto"/>
              </w:rPr>
            </w:pPr>
            <w:r>
              <w:rPr>
                <w:rFonts w:ascii="Arial" w:cs="Arial" w:eastAsia="Arial" w:hAnsi="Arial"/>
                <w:sz w:val="18"/>
                <w:szCs w:val="18"/>
                <w:i w:val="1"/>
                <w:iCs w:val="1"/>
                <w:color w:val="auto"/>
              </w:rPr>
              <w:t>Three Months Ended March 31, 2019</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2220" w:type="dxa"/>
            <w:vAlign w:val="bottom"/>
          </w:tcPr>
          <w:p>
            <w:pPr>
              <w:ind w:left="20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27,013</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6,177</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7,486</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13,438</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10,450</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12,569</w:t>
            </w:r>
          </w:p>
        </w:tc>
      </w:tr>
      <w:tr>
        <w:trPr>
          <w:trHeight w:val="215"/>
        </w:trPr>
        <w:tc>
          <w:tcPr>
            <w:tcW w:w="48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15"/>
        </w:trPr>
        <w:tc>
          <w:tcPr>
            <w:tcW w:w="48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874,971</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832,326</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(22,416)</w:t>
            </w:r>
          </w:p>
        </w:tc>
        <w:tc>
          <w:tcPr>
            <w:tcW w:w="24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1,684,881</w:t>
            </w: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Funding Sources</w:t>
            </w:r>
          </w:p>
        </w:tc>
        <w:tc>
          <w:tcPr>
            <w:tcW w:w="2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647,590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591,199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1,238,789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right="20" w:hanging="212"/>
        <w:spacing w:after="0" w:line="242"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The tax-equivalent adjustment was approximately $484,000 and $541,000 for the three months ended March 31, 2020 and 2019, respectively.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Note 6 – Loans by Type</w:t>
            </w:r>
          </w:p>
        </w:tc>
        <w:tc>
          <w:tcPr>
            <w:tcW w:w="4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432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4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4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r>
      <w:tr>
        <w:trPr>
          <w:trHeight w:val="215"/>
        </w:trPr>
        <w:tc>
          <w:tcPr>
            <w:tcW w:w="4320" w:type="dxa"/>
            <w:vAlign w:val="bottom"/>
            <w:shd w:val="clear" w:color="auto" w:fill="B2B2B2"/>
          </w:tcPr>
          <w:p>
            <w:pPr>
              <w:ind w:left="40"/>
              <w:spacing w:after="0"/>
              <w:rPr>
                <w:sz w:val="20"/>
                <w:szCs w:val="20"/>
                <w:color w:val="auto"/>
              </w:rPr>
            </w:pPr>
            <w:r>
              <w:rPr>
                <w:rFonts w:ascii="Arial" w:cs="Arial" w:eastAsia="Arial" w:hAnsi="Arial"/>
                <w:sz w:val="18"/>
                <w:szCs w:val="18"/>
                <w:color w:val="auto"/>
              </w:rPr>
              <w:t>Commercial and industrial</w:t>
            </w:r>
          </w:p>
        </w:tc>
        <w:tc>
          <w:tcPr>
            <w:tcW w:w="41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399,217</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43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410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43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4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100,717</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43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4100" w:type="dxa"/>
            <w:vAlign w:val="bottom"/>
            <w:shd w:val="clear" w:color="auto" w:fill="B2B2B2"/>
          </w:tcPr>
          <w:p>
            <w:pPr>
              <w:spacing w:after="0"/>
              <w:rPr>
                <w:sz w:val="18"/>
                <w:szCs w:val="18"/>
                <w:color w:val="auto"/>
              </w:rPr>
            </w:pP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19,528</w:t>
            </w:r>
          </w:p>
        </w:tc>
        <w:tc>
          <w:tcPr>
            <w:tcW w:w="240" w:type="dxa"/>
            <w:vAlign w:val="bottom"/>
            <w:shd w:val="clear" w:color="auto" w:fill="B2B2B2"/>
          </w:tcPr>
          <w:p>
            <w:pPr>
              <w:spacing w:after="0"/>
              <w:rPr>
                <w:sz w:val="18"/>
                <w:szCs w:val="18"/>
                <w:color w:val="auto"/>
              </w:rPr>
            </w:pPr>
          </w:p>
        </w:tc>
        <w:tc>
          <w:tcPr>
            <w:tcW w:w="13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432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4100" w:type="dxa"/>
            <w:vAlign w:val="bottom"/>
            <w:shd w:val="clear" w:color="auto" w:fill="B2B2B2"/>
          </w:tcPr>
          <w:p>
            <w:pPr>
              <w:spacing w:after="0"/>
              <w:rPr>
                <w:sz w:val="18"/>
                <w:szCs w:val="18"/>
                <w:color w:val="auto"/>
              </w:rPr>
            </w:pPr>
          </w:p>
        </w:tc>
        <w:tc>
          <w:tcPr>
            <w:tcW w:w="1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311,520</w:t>
            </w:r>
          </w:p>
        </w:tc>
        <w:tc>
          <w:tcPr>
            <w:tcW w:w="240" w:type="dxa"/>
            <w:vAlign w:val="bottom"/>
            <w:shd w:val="clear" w:color="auto" w:fill="B2B2B2"/>
          </w:tcPr>
          <w:p>
            <w:pPr>
              <w:spacing w:after="0"/>
              <w:rPr>
                <w:sz w:val="18"/>
                <w:szCs w:val="18"/>
                <w:color w:val="auto"/>
              </w:rPr>
            </w:pPr>
          </w:p>
        </w:tc>
        <w:tc>
          <w:tcPr>
            <w:tcW w:w="13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43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4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23,792</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432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Other</w:t>
            </w:r>
          </w:p>
        </w:tc>
        <w:tc>
          <w:tcPr>
            <w:tcW w:w="4100" w:type="dxa"/>
            <w:vAlign w:val="bottom"/>
            <w:tcBorders>
              <w:bottom w:val="single" w:sz="8" w:color="auto"/>
            </w:tcBorders>
            <w:shd w:val="clear" w:color="auto" w:fill="B2B2B2"/>
          </w:tcPr>
          <w:p>
            <w:pPr>
              <w:spacing w:after="0"/>
              <w:rPr>
                <w:sz w:val="18"/>
                <w:szCs w:val="18"/>
                <w:color w:val="auto"/>
              </w:rPr>
            </w:pPr>
          </w:p>
        </w:tc>
        <w:tc>
          <w:tcPr>
            <w:tcW w:w="12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loans</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854,780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772,638</w:t>
            </w:r>
          </w:p>
        </w:tc>
      </w:tr>
      <w:tr>
        <w:trPr>
          <w:trHeight w:val="431"/>
        </w:trPr>
        <w:tc>
          <w:tcPr>
            <w:tcW w:w="4320" w:type="dxa"/>
            <w:vAlign w:val="bottom"/>
          </w:tcPr>
          <w:p>
            <w:pPr>
              <w:spacing w:after="0"/>
              <w:rPr>
                <w:sz w:val="24"/>
                <w:szCs w:val="24"/>
                <w:color w:val="auto"/>
              </w:rPr>
            </w:pPr>
          </w:p>
        </w:tc>
        <w:tc>
          <w:tcPr>
            <w:tcW w:w="4100" w:type="dxa"/>
            <w:vAlign w:val="bottom"/>
          </w:tcPr>
          <w:p>
            <w:pPr>
              <w:jc w:val="right"/>
              <w:ind w:right="2550"/>
              <w:spacing w:after="0"/>
              <w:rPr>
                <w:sz w:val="20"/>
                <w:szCs w:val="20"/>
                <w:color w:val="auto"/>
              </w:rPr>
            </w:pPr>
            <w:r>
              <w:rPr>
                <w:rFonts w:ascii="Arial" w:cs="Arial" w:eastAsia="Arial" w:hAnsi="Arial"/>
                <w:sz w:val="18"/>
                <w:szCs w:val="18"/>
                <w:color w:val="auto"/>
              </w:rPr>
              <w:t>-11-</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20" w:type="dxa"/>
            <w:vAlign w:val="bottom"/>
            <w:tcBorders>
              <w:bottom w:val="single" w:sz="8" w:color="EEEEEE"/>
            </w:tcBorders>
          </w:tcPr>
          <w:p>
            <w:pPr>
              <w:spacing w:after="0"/>
              <w:rPr>
                <w:sz w:val="18"/>
                <w:szCs w:val="18"/>
                <w:color w:val="auto"/>
              </w:rPr>
            </w:pPr>
          </w:p>
        </w:tc>
        <w:tc>
          <w:tcPr>
            <w:tcW w:w="4100" w:type="dxa"/>
            <w:vAlign w:val="bottom"/>
            <w:tcBorders>
              <w:bottom w:val="single" w:sz="8" w:color="EEEEEE"/>
            </w:tcBorders>
          </w:tcPr>
          <w:p>
            <w:pPr>
              <w:spacing w:after="0"/>
              <w:rPr>
                <w:sz w:val="18"/>
                <w:szCs w:val="18"/>
                <w:color w:val="auto"/>
              </w:rPr>
            </w:pPr>
          </w:p>
        </w:tc>
        <w:tc>
          <w:tcPr>
            <w:tcW w:w="12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2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aging of loans by loan categories at March 31, 2020 and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Performing</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7"/>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150"/>
              <w:spacing w:after="0" w:line="197" w:lineRule="exact"/>
              <w:rPr>
                <w:sz w:val="20"/>
                <w:szCs w:val="20"/>
                <w:color w:val="auto"/>
              </w:rPr>
            </w:pPr>
            <w:r>
              <w:rPr>
                <w:rFonts w:ascii="Arial" w:cs="Arial" w:eastAsia="Arial" w:hAnsi="Arial"/>
                <w:sz w:val="18"/>
                <w:szCs w:val="18"/>
                <w:b w:val="1"/>
                <w:bCs w:val="1"/>
                <w:color w:val="auto"/>
                <w:w w:val="89"/>
              </w:rPr>
              <w:t>90</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5"/>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Days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41"/>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Days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Over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Loans</w:t>
            </w:r>
          </w:p>
        </w:tc>
      </w:tr>
      <w:tr>
        <w:trPr>
          <w:trHeight w:val="215"/>
        </w:trPr>
        <w:tc>
          <w:tcPr>
            <w:tcW w:w="4860" w:type="dxa"/>
            <w:vAlign w:val="bottom"/>
            <w:shd w:val="clear" w:color="auto" w:fill="B2B2B2"/>
          </w:tcPr>
          <w:p>
            <w:pPr>
              <w:ind w:left="40"/>
              <w:spacing w:after="0"/>
              <w:rPr>
                <w:sz w:val="20"/>
                <w:szCs w:val="20"/>
                <w:color w:val="auto"/>
              </w:rPr>
            </w:pPr>
            <w:r>
              <w:rPr>
                <w:rFonts w:ascii="Arial" w:cs="Arial" w:eastAsia="Arial" w:hAnsi="Arial"/>
                <w:sz w:val="18"/>
                <w:szCs w:val="18"/>
                <w:i w:val="1"/>
                <w:iCs w:val="1"/>
                <w:color w:val="auto"/>
              </w:rPr>
              <w:t>March 31, 2020</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860" w:type="dxa"/>
            <w:vAlign w:val="bottom"/>
          </w:tcPr>
          <w:p>
            <w:pPr>
              <w:ind w:left="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399,217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399,217</w:t>
            </w:r>
          </w:p>
        </w:tc>
      </w:tr>
      <w:tr>
        <w:trPr>
          <w:trHeight w:val="215"/>
        </w:trPr>
        <w:tc>
          <w:tcPr>
            <w:tcW w:w="4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100,717</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100,717</w:t>
            </w: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19,528</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19,528</w:t>
            </w:r>
          </w:p>
        </w:tc>
      </w:tr>
      <w:tr>
        <w:trPr>
          <w:trHeight w:val="215"/>
        </w:trPr>
        <w:tc>
          <w:tcPr>
            <w:tcW w:w="4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311,520</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311,520</w:t>
            </w: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23,792</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23,792</w:t>
            </w:r>
          </w:p>
        </w:tc>
      </w:tr>
      <w:tr>
        <w:trPr>
          <w:trHeight w:val="215"/>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486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854,780</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854,780</w:t>
            </w:r>
          </w:p>
        </w:tc>
      </w:tr>
      <w:tr>
        <w:trPr>
          <w:trHeight w:val="209"/>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December 31, 2019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48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101,654</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486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15,945</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486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March 31,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Performing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Loans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Nonperforming</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Subject to</w:t>
            </w:r>
          </w:p>
        </w:tc>
        <w:tc>
          <w:tcPr>
            <w:tcW w:w="16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Subject</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Loans Subject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Normal</w:t>
            </w: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to Special</w:t>
            </w: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40" w:type="dxa"/>
            <w:vAlign w:val="bottom"/>
            <w:tcBorders>
              <w:bottom w:val="single" w:sz="8" w:color="auto"/>
            </w:tcBorders>
            <w:gridSpan w:val="2"/>
          </w:tcPr>
          <w:p>
            <w:pPr>
              <w:ind w:left="2400"/>
              <w:spacing w:after="0" w:line="270" w:lineRule="exact"/>
              <w:rPr>
                <w:sz w:val="20"/>
                <w:szCs w:val="20"/>
                <w:color w:val="auto"/>
              </w:rPr>
            </w:pPr>
            <w:r>
              <w:rPr>
                <w:rFonts w:ascii="Arial" w:cs="Arial" w:eastAsia="Arial" w:hAnsi="Arial"/>
                <w:sz w:val="18"/>
                <w:szCs w:val="18"/>
                <w:b w:val="1"/>
                <w:bCs w:val="1"/>
                <w:color w:val="auto"/>
                <w:w w:val="98"/>
              </w:rPr>
              <w:t>Monitoring</w:t>
            </w:r>
            <w:r>
              <w:rPr>
                <w:rFonts w:ascii="Arial" w:cs="Arial" w:eastAsia="Arial" w:hAnsi="Arial"/>
                <w:sz w:val="29"/>
                <w:szCs w:val="29"/>
                <w:b w:val="1"/>
                <w:bCs w:val="1"/>
                <w:color w:val="auto"/>
                <w:w w:val="98"/>
                <w:vertAlign w:val="superscript"/>
              </w:rPr>
              <w:t>1</w:t>
            </w:r>
          </w:p>
        </w:tc>
        <w:tc>
          <w:tcPr>
            <w:tcW w:w="1100" w:type="dxa"/>
            <w:vAlign w:val="bottom"/>
            <w:tcBorders>
              <w:bottom w:val="single" w:sz="8" w:color="auto"/>
            </w:tcBorders>
            <w:gridSpan w:val="2"/>
          </w:tcPr>
          <w:p>
            <w:pPr>
              <w:ind w:left="60"/>
              <w:spacing w:after="0" w:line="270" w:lineRule="exact"/>
              <w:rPr>
                <w:sz w:val="20"/>
                <w:szCs w:val="20"/>
                <w:color w:val="auto"/>
              </w:rPr>
            </w:pPr>
            <w:r>
              <w:rPr>
                <w:rFonts w:ascii="Arial" w:cs="Arial" w:eastAsia="Arial" w:hAnsi="Arial"/>
                <w:sz w:val="18"/>
                <w:szCs w:val="18"/>
                <w:b w:val="1"/>
                <w:bCs w:val="1"/>
                <w:color w:val="auto"/>
                <w:w w:val="98"/>
              </w:rPr>
              <w:t>Monitoring</w:t>
            </w:r>
            <w:r>
              <w:rPr>
                <w:rFonts w:ascii="Arial" w:cs="Arial" w:eastAsia="Arial" w:hAnsi="Arial"/>
                <w:sz w:val="29"/>
                <w:szCs w:val="29"/>
                <w:b w:val="1"/>
                <w:bCs w:val="1"/>
                <w:color w:val="auto"/>
                <w:w w:val="98"/>
                <w:vertAlign w:val="superscript"/>
              </w:rPr>
              <w:t>2</w:t>
            </w:r>
          </w:p>
        </w:tc>
        <w:tc>
          <w:tcPr>
            <w:tcW w:w="1300" w:type="dxa"/>
            <w:vAlign w:val="bottom"/>
            <w:tcBorders>
              <w:bottom w:val="single" w:sz="8" w:color="auto"/>
            </w:tcBorders>
            <w:gridSpan w:val="2"/>
          </w:tcPr>
          <w:p>
            <w:pPr>
              <w:jc w:val="center"/>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Total Loans</w:t>
            </w:r>
          </w:p>
        </w:tc>
      </w:tr>
      <w:tr>
        <w:trPr>
          <w:trHeight w:val="215"/>
        </w:trPr>
        <w:tc>
          <w:tcPr>
            <w:tcW w:w="4360" w:type="dxa"/>
            <w:vAlign w:val="bottom"/>
            <w:shd w:val="clear" w:color="auto" w:fill="B2B2B2"/>
          </w:tcPr>
          <w:p>
            <w:pPr>
              <w:ind w:left="40"/>
              <w:spacing w:after="0"/>
              <w:rPr>
                <w:sz w:val="20"/>
                <w:szCs w:val="20"/>
                <w:color w:val="auto"/>
              </w:rPr>
            </w:pPr>
            <w:r>
              <w:rPr>
                <w:rFonts w:ascii="Arial" w:cs="Arial" w:eastAsia="Arial" w:hAnsi="Arial"/>
                <w:sz w:val="18"/>
                <w:szCs w:val="18"/>
                <w:i w:val="1"/>
                <w:iCs w:val="1"/>
                <w:color w:val="auto"/>
              </w:rPr>
              <w:t>March 31, 2020</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360" w:type="dxa"/>
            <w:vAlign w:val="bottom"/>
          </w:tcPr>
          <w:p>
            <w:pPr>
              <w:ind w:left="40"/>
              <w:spacing w:after="0"/>
              <w:rPr>
                <w:sz w:val="20"/>
                <w:szCs w:val="20"/>
                <w:color w:val="auto"/>
              </w:rPr>
            </w:pPr>
            <w:r>
              <w:rPr>
                <w:rFonts w:ascii="Arial" w:cs="Arial" w:eastAsia="Arial" w:hAnsi="Arial"/>
                <w:sz w:val="18"/>
                <w:szCs w:val="18"/>
                <w:color w:val="auto"/>
              </w:rPr>
              <w:t>Commercial and industrial</w:t>
            </w:r>
          </w:p>
        </w:tc>
        <w:tc>
          <w:tcPr>
            <w:tcW w:w="2500" w:type="dxa"/>
            <w:vAlign w:val="bottom"/>
          </w:tcPr>
          <w:p>
            <w:pPr>
              <w:ind w:left="24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387,444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11,773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399,217</w:t>
            </w:r>
          </w:p>
        </w:tc>
      </w:tr>
      <w:tr>
        <w:trPr>
          <w:trHeight w:val="215"/>
        </w:trPr>
        <w:tc>
          <w:tcPr>
            <w:tcW w:w="4360" w:type="dxa"/>
            <w:vAlign w:val="bottom"/>
            <w:shd w:val="clear" w:color="auto" w:fill="B2B2B2"/>
          </w:tcPr>
          <w:p>
            <w:pPr>
              <w:ind w:left="40"/>
              <w:spacing w:after="0"/>
              <w:rPr>
                <w:sz w:val="20"/>
                <w:szCs w:val="20"/>
                <w:color w:val="auto"/>
              </w:rPr>
            </w:pPr>
            <w:r>
              <w:rPr>
                <w:rFonts w:ascii="Arial" w:cs="Arial" w:eastAsia="Arial" w:hAnsi="Arial"/>
                <w:sz w:val="18"/>
                <w:szCs w:val="18"/>
                <w:color w:val="auto"/>
              </w:rPr>
              <w:t>Real estate</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3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99,464</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1,253</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100,717</w:t>
            </w:r>
          </w:p>
        </w:tc>
      </w:tr>
      <w:tr>
        <w:trPr>
          <w:trHeight w:val="215"/>
        </w:trPr>
        <w:tc>
          <w:tcPr>
            <w:tcW w:w="43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19,528</w:t>
            </w:r>
          </w:p>
        </w:tc>
      </w:tr>
      <w:tr>
        <w:trPr>
          <w:trHeight w:val="215"/>
        </w:trPr>
        <w:tc>
          <w:tcPr>
            <w:tcW w:w="43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310,236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311,520</w:t>
            </w:r>
          </w:p>
        </w:tc>
      </w:tr>
      <w:tr>
        <w:trPr>
          <w:trHeight w:val="215"/>
        </w:trPr>
        <w:tc>
          <w:tcPr>
            <w:tcW w:w="43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23,792</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23,792</w:t>
            </w:r>
          </w:p>
        </w:tc>
      </w:tr>
      <w:tr>
        <w:trPr>
          <w:trHeight w:val="215"/>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436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shd w:val="clear" w:color="auto" w:fill="B2B2B2"/>
          </w:tcPr>
          <w:p>
            <w:pPr>
              <w:ind w:left="240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840,470</w:t>
            </w:r>
          </w:p>
        </w:tc>
        <w:tc>
          <w:tcPr>
            <w:tcW w:w="16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14,310</w:t>
            </w:r>
          </w:p>
        </w:tc>
        <w:tc>
          <w:tcPr>
            <w:tcW w:w="220" w:type="dxa"/>
            <w:vAlign w:val="bottom"/>
            <w:tcBorders>
              <w:bottom w:val="single" w:sz="8" w:color="auto"/>
            </w:tcBorders>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854,780</w:t>
            </w:r>
          </w:p>
        </w:tc>
      </w:tr>
      <w:tr>
        <w:trPr>
          <w:trHeight w:val="209"/>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December 31, 2019</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shd w:val="clear" w:color="auto" w:fill="B2B2B2"/>
          </w:tcPr>
          <w:p>
            <w:pPr>
              <w:ind w:left="40"/>
              <w:spacing w:after="0"/>
              <w:rPr>
                <w:sz w:val="20"/>
                <w:szCs w:val="20"/>
                <w:color w:val="auto"/>
              </w:rPr>
            </w:pPr>
            <w:r>
              <w:rPr>
                <w:rFonts w:ascii="Arial" w:cs="Arial" w:eastAsia="Arial" w:hAnsi="Arial"/>
                <w:sz w:val="18"/>
                <w:szCs w:val="18"/>
                <w:color w:val="auto"/>
              </w:rPr>
              <w:t>Commercial and industrial</w:t>
            </w:r>
          </w:p>
        </w:tc>
        <w:tc>
          <w:tcPr>
            <w:tcW w:w="2500" w:type="dxa"/>
            <w:vAlign w:val="bottom"/>
            <w:shd w:val="clear" w:color="auto" w:fill="B2B2B2"/>
          </w:tcPr>
          <w:p>
            <w:pPr>
              <w:ind w:left="24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321,554</w:t>
            </w:r>
          </w:p>
        </w:tc>
        <w:tc>
          <w:tcPr>
            <w:tcW w:w="160" w:type="dxa"/>
            <w:vAlign w:val="bottom"/>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2,303</w:t>
            </w:r>
          </w:p>
        </w:tc>
        <w:tc>
          <w:tcPr>
            <w:tcW w:w="2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43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100,346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43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436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43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304,513</w:t>
            </w:r>
          </w:p>
        </w:tc>
        <w:tc>
          <w:tcPr>
            <w:tcW w:w="1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43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436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Pr>
          <w:p>
            <w:pPr>
              <w:ind w:left="24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767,714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4,924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772,638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tabs>
          <w:tab w:leader="none" w:pos="220" w:val="left"/>
        </w:tabs>
        <w:numPr>
          <w:ilvl w:val="0"/>
          <w:numId w:val="6"/>
        </w:numPr>
        <w:rPr>
          <w:rFonts w:ascii="Arial" w:cs="Arial" w:eastAsia="Arial" w:hAnsi="Arial"/>
          <w:sz w:val="12"/>
          <w:szCs w:val="12"/>
          <w:color w:val="auto"/>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Loans subject to special monitoring possess some credit deficiency or potential weakness which requires a high level of management attention.</w:t>
      </w:r>
    </w:p>
    <w:p>
      <w:pPr>
        <w:sectPr>
          <w:pgSz w:w="11900" w:h="16838" w:orient="portrait"/>
          <w:cols w:equalWidth="0" w:num="1">
            <w:col w:w="11240"/>
          </w:cols>
          <w:pgMar w:left="320" w:top="327"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 xml:space="preserve">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w:t>
      </w:r>
      <w:r>
        <w:rPr>
          <w:rFonts w:ascii="Arial" w:cs="Arial" w:eastAsia="Arial" w:hAnsi="Arial"/>
          <w:sz w:val="17"/>
          <w:szCs w:val="17"/>
          <w:i w:val="1"/>
          <w:iCs w:val="1"/>
          <w:color w:val="auto"/>
        </w:rPr>
        <w:t>Allowance for Credit Losses</w:t>
      </w:r>
      <w:r>
        <w:rPr>
          <w:rFonts w:ascii="Arial" w:cs="Arial" w:eastAsia="Arial" w:hAnsi="Arial"/>
          <w:sz w:val="17"/>
          <w:szCs w:val="17"/>
          <w:color w:val="auto"/>
        </w:rPr>
        <w:t>. The fair value of the collateral is based upon an observable market price or current appraised value and therefore, the Company classifies these assets as nonrecurring Level 3. There were no non-accrual loans, loans delinquent 90 days or more and still accruing interest, or loans classified as troubled debt restructuring at March 31, 2020 or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(included in other assets) as of March 31, 2020 or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2019 to March 31,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Offs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5"/>
        </w:trPr>
        <w:tc>
          <w:tcPr>
            <w:tcW w:w="3240" w:type="dxa"/>
            <w:vAlign w:val="bottom"/>
            <w:shd w:val="clear" w:color="auto" w:fill="B2B2B2"/>
          </w:tcPr>
          <w:p>
            <w:pPr>
              <w:ind w:left="40"/>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4,874</w:t>
            </w:r>
          </w:p>
        </w:tc>
        <w:tc>
          <w:tcPr>
            <w:tcW w:w="1140" w:type="dxa"/>
            <w:vAlign w:val="bottom"/>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5,094</w:t>
            </w:r>
          </w:p>
        </w:tc>
      </w:tr>
      <w:tr>
        <w:trPr>
          <w:trHeight w:val="215"/>
        </w:trPr>
        <w:tc>
          <w:tcPr>
            <w:tcW w:w="32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2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15"/>
        </w:trPr>
        <w:tc>
          <w:tcPr>
            <w:tcW w:w="32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150</w:t>
            </w:r>
          </w:p>
        </w:tc>
      </w:tr>
      <w:tr>
        <w:trPr>
          <w:trHeight w:val="215"/>
        </w:trPr>
        <w:tc>
          <w:tcPr>
            <w:tcW w:w="324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2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3,842</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3,949</w:t>
            </w:r>
          </w:p>
        </w:tc>
      </w:tr>
      <w:tr>
        <w:trPr>
          <w:trHeight w:val="215"/>
        </w:trPr>
        <w:tc>
          <w:tcPr>
            <w:tcW w:w="32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Construction</w:t>
            </w:r>
          </w:p>
        </w:tc>
        <w:tc>
          <w:tcPr>
            <w:tcW w:w="1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324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10,556</w:t>
            </w:r>
          </w:p>
        </w:tc>
        <w:tc>
          <w:tcPr>
            <w:tcW w:w="1140" w:type="dxa"/>
            <w:vAlign w:val="bottom"/>
            <w:tcBorders>
              <w:bottom w:val="single" w:sz="8" w:color="auto"/>
            </w:tcBorders>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10,889</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2018 to March 31, 2019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Offs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3240" w:type="dxa"/>
            <w:vAlign w:val="bottom"/>
            <w:shd w:val="clear" w:color="auto" w:fill="B2B2B2"/>
          </w:tcPr>
          <w:p>
            <w:pPr>
              <w:ind w:left="40"/>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4,179</w:t>
            </w:r>
          </w:p>
        </w:tc>
        <w:tc>
          <w:tcPr>
            <w:tcW w:w="1140" w:type="dxa"/>
            <w:vAlign w:val="bottom"/>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4,719</w:t>
            </w:r>
          </w:p>
        </w:tc>
      </w:tr>
      <w:tr>
        <w:trPr>
          <w:trHeight w:val="215"/>
        </w:trPr>
        <w:tc>
          <w:tcPr>
            <w:tcW w:w="32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2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1,417</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15"/>
        </w:trPr>
        <w:tc>
          <w:tcPr>
            <w:tcW w:w="32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324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2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3,961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3,910</w:t>
            </w:r>
          </w:p>
        </w:tc>
      </w:tr>
      <w:tr>
        <w:trPr>
          <w:trHeight w:val="215"/>
        </w:trPr>
        <w:tc>
          <w:tcPr>
            <w:tcW w:w="324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5"/>
        </w:trPr>
        <w:tc>
          <w:tcPr>
            <w:tcW w:w="324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424</w:t>
            </w:r>
          </w:p>
        </w:tc>
        <w:tc>
          <w:tcPr>
            <w:tcW w:w="1140" w:type="dxa"/>
            <w:vAlign w:val="bottom"/>
            <w:tcBorders>
              <w:bottom w:val="single" w:sz="8" w:color="auto"/>
            </w:tcBorders>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March 31, 2020 and December 31, 2019, no amounts have been accrued for any estimated losses for these instruments.</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2020, the balance of unused loan commitments, standby and commercial letters of credit were $150,672,000, $10,703,000, and $652,000,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contractual cash obligations of the Company related to time deposits at March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Amount of Commitment Expiration per Period</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7"/>
        </w:trPr>
        <w:tc>
          <w:tcPr>
            <w:tcW w:w="3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30"/>
              <w:spacing w:after="0" w:line="197" w:lineRule="exact"/>
              <w:rPr>
                <w:sz w:val="20"/>
                <w:szCs w:val="20"/>
                <w:color w:val="auto"/>
              </w:rPr>
            </w:pPr>
            <w:r>
              <w:rPr>
                <w:rFonts w:ascii="Arial" w:cs="Arial" w:eastAsia="Arial" w:hAnsi="Arial"/>
                <w:sz w:val="18"/>
                <w:szCs w:val="18"/>
                <w:b w:val="1"/>
                <w:bCs w:val="1"/>
                <w:color w:val="auto"/>
                <w:w w:val="95"/>
              </w:rPr>
              <w:t>Less than</w:t>
            </w:r>
          </w:p>
        </w:tc>
        <w:tc>
          <w:tcPr>
            <w:tcW w:w="240" w:type="dxa"/>
            <w:vAlign w:val="bottom"/>
          </w:tcPr>
          <w:p>
            <w:pPr>
              <w:spacing w:after="0"/>
              <w:rPr>
                <w:sz w:val="17"/>
                <w:szCs w:val="17"/>
                <w:color w:val="auto"/>
              </w:rPr>
            </w:pPr>
          </w:p>
        </w:tc>
        <w:tc>
          <w:tcPr>
            <w:tcW w:w="860" w:type="dxa"/>
            <w:vAlign w:val="bottom"/>
          </w:tcPr>
          <w:p>
            <w:pPr>
              <w:jc w:val="right"/>
              <w:ind w:right="330"/>
              <w:spacing w:after="0" w:line="197"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900" w:type="dxa"/>
            <w:vAlign w:val="bottom"/>
          </w:tcPr>
          <w:p>
            <w:pPr>
              <w:jc w:val="right"/>
              <w:ind w:right="370"/>
              <w:spacing w:after="0" w:line="197"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7"/>
                <w:szCs w:val="17"/>
                <w:color w:val="auto"/>
              </w:rPr>
            </w:pPr>
          </w:p>
        </w:tc>
        <w:tc>
          <w:tcPr>
            <w:tcW w:w="84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92"/>
              </w:rPr>
              <w:t>Over 5</w:t>
            </w:r>
          </w:p>
        </w:tc>
      </w:tr>
      <w:tr>
        <w:trPr>
          <w:trHeight w:val="241"/>
        </w:trPr>
        <w:tc>
          <w:tcPr>
            <w:tcW w:w="3300" w:type="dxa"/>
            <w:vAlign w:val="bottom"/>
            <w:tcBorders>
              <w:bottom w:val="single" w:sz="8" w:color="auto"/>
            </w:tcBorders>
          </w:tcPr>
          <w:p>
            <w:pPr>
              <w:jc w:val="center"/>
              <w:ind w:right="2110"/>
              <w:spacing w:after="0"/>
              <w:rPr>
                <w:sz w:val="20"/>
                <w:szCs w:val="20"/>
                <w:color w:val="auto"/>
              </w:rPr>
            </w:pPr>
            <w:r>
              <w:rPr>
                <w:rFonts w:ascii="Arial" w:cs="Arial" w:eastAsia="Arial" w:hAnsi="Arial"/>
                <w:sz w:val="18"/>
                <w:szCs w:val="18"/>
                <w:b w:val="1"/>
                <w:bCs w:val="1"/>
                <w:i w:val="1"/>
                <w:iCs w:val="1"/>
                <w:color w:val="auto"/>
                <w:w w:val="88"/>
              </w:rPr>
              <w:t>(In thousands)</w:t>
            </w:r>
          </w:p>
        </w:tc>
        <w:tc>
          <w:tcPr>
            <w:tcW w:w="2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r>
      <w:tr>
        <w:trPr>
          <w:trHeight w:val="215"/>
        </w:trPr>
        <w:tc>
          <w:tcPr>
            <w:tcW w:w="3300" w:type="dxa"/>
            <w:vAlign w:val="bottom"/>
            <w:tcBorders>
              <w:bottom w:val="single" w:sz="8" w:color="auto"/>
            </w:tcBorders>
            <w:shd w:val="clear" w:color="auto" w:fill="B2B2B2"/>
          </w:tcPr>
          <w:p>
            <w:pPr>
              <w:jc w:val="center"/>
              <w:ind w:right="2130"/>
              <w:spacing w:after="0"/>
              <w:rPr>
                <w:sz w:val="20"/>
                <w:szCs w:val="20"/>
                <w:color w:val="auto"/>
              </w:rPr>
            </w:pPr>
            <w:r>
              <w:rPr>
                <w:rFonts w:ascii="Arial" w:cs="Arial" w:eastAsia="Arial" w:hAnsi="Arial"/>
                <w:sz w:val="18"/>
                <w:szCs w:val="18"/>
                <w:color w:val="auto"/>
                <w:w w:val="89"/>
              </w:rPr>
              <w:t>Time deposits</w:t>
            </w:r>
          </w:p>
        </w:tc>
        <w:tc>
          <w:tcPr>
            <w:tcW w:w="242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71,542</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43,879</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27,637</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B2B2B2"/>
          </w:tcPr>
          <w:p>
            <w:pPr>
              <w:ind w:left="660"/>
              <w:spacing w:after="0"/>
              <w:rPr>
                <w:sz w:val="20"/>
                <w:szCs w:val="20"/>
                <w:color w:val="auto"/>
              </w:rPr>
            </w:pPr>
            <w:r>
              <w:rPr>
                <w:rFonts w:ascii="Arial" w:cs="Arial" w:eastAsia="Arial" w:hAnsi="Arial"/>
                <w:sz w:val="18"/>
                <w:szCs w:val="18"/>
                <w:color w:val="auto"/>
                <w:w w:val="88"/>
              </w:rPr>
              <w:t>—</w:t>
            </w:r>
          </w:p>
        </w:tc>
      </w:tr>
      <w:tr>
        <w:trPr>
          <w:trHeight w:val="216"/>
        </w:trPr>
        <w:tc>
          <w:tcPr>
            <w:tcW w:w="3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27,637</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three months ended March 31, 2020, 23,111 restricted shares, 32,910 performance-based restricted shares, and no SARs were granted under the Omnibus Plan. Stock-based compensation expense for the three months ended March 31, 2020 and 2019 was $722,000 and $857,000,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2020, the total unrecognized compensation expense related to non-vested restricted shares was $2,150,000, and the related weighted-average period over which it is expected to be recognized is approximately 1.00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123,272</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47.24</w:t>
            </w:r>
          </w:p>
        </w:tc>
        <w:tc>
          <w:tcPr>
            <w:tcW w:w="20" w:type="dxa"/>
            <w:vAlign w:val="bottom"/>
          </w:tcPr>
          <w:p>
            <w:pPr>
              <w:spacing w:after="0"/>
              <w:rPr>
                <w:sz w:val="18"/>
                <w:szCs w:val="18"/>
                <w:color w:val="auto"/>
              </w:rPr>
            </w:pPr>
          </w:p>
        </w:tc>
      </w:tr>
      <w:tr>
        <w:trPr>
          <w:trHeight w:val="215"/>
        </w:trPr>
        <w:tc>
          <w:tcPr>
            <w:tcW w:w="7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23,111</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(19,248)</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Balance at March 31, 2020</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123,958</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8"/>
                <w:szCs w:val="18"/>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 based restricted stock (“PBRS”) awards which are contingent upon the Company’s achievement of pre-established financial goals over a three year cliff vest period. The number of shares issued ranges from 0% to 150% of the target opportunity based on the actual achievement of financial goals for the three-year performance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PBRS, based on target value: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102,116</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49.13</w:t>
            </w:r>
          </w:p>
        </w:tc>
        <w:tc>
          <w:tcPr>
            <w:tcW w:w="20" w:type="dxa"/>
            <w:vAlign w:val="bottom"/>
          </w:tcPr>
          <w:p>
            <w:pPr>
              <w:spacing w:after="0"/>
              <w:rPr>
                <w:sz w:val="18"/>
                <w:szCs w:val="18"/>
                <w:color w:val="auto"/>
              </w:rPr>
            </w:pPr>
          </w:p>
        </w:tc>
      </w:tr>
      <w:tr>
        <w:trPr>
          <w:trHeight w:val="215"/>
        </w:trPr>
        <w:tc>
          <w:tcPr>
            <w:tcW w:w="7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32,910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54.02</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(29,175)</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(4,763)</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Balance at March 31, 2020</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101,088</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PBRS that vested during the three months ended March 31, 2020 achieved financial goals of 117.3%, resulting in the issuance of 34,222 shares of common stock. The outstanding PBRS at March 31, 2020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three months ended March 31, 2020. Following is a summary of the activity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three-month period ended March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241"/>
        </w:trPr>
        <w:tc>
          <w:tcPr>
            <w:tcW w:w="6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 Years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15"/>
        </w:trPr>
        <w:tc>
          <w:tcPr>
            <w:tcW w:w="654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155,292</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32.58</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3,908</w:t>
            </w:r>
          </w:p>
        </w:tc>
      </w:tr>
      <w:tr>
        <w:trPr>
          <w:trHeight w:val="215"/>
        </w:trPr>
        <w:tc>
          <w:tcPr>
            <w:tcW w:w="6540" w:type="dxa"/>
            <w:vAlign w:val="bottom"/>
            <w:tcBorders>
              <w:bottom w:val="single" w:sz="8" w:color="B2B2B2"/>
            </w:tcBorders>
          </w:tcPr>
          <w:p>
            <w:pPr>
              <w:ind w:left="40"/>
              <w:spacing w:after="0"/>
              <w:rPr>
                <w:sz w:val="20"/>
                <w:szCs w:val="20"/>
                <w:color w:val="auto"/>
              </w:rPr>
            </w:pPr>
            <w:r>
              <w:rPr>
                <w:rFonts w:ascii="Arial" w:cs="Arial" w:eastAsia="Arial" w:hAnsi="Arial"/>
                <w:sz w:val="18"/>
                <w:szCs w:val="18"/>
                <w:color w:val="auto"/>
              </w:rPr>
              <w:t>Exercised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Exercisable at March 31, 2020</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144,999</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32.99</w:t>
            </w: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665</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 noncontributory defined-benefit pension plan, which covers eligible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Estimated</w:t>
            </w: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5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Service cost – benefits earned during the year</w:t>
            </w:r>
          </w:p>
        </w:tc>
        <w:tc>
          <w:tcPr>
            <w:tcW w:w="2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4,312</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3,555</w:t>
            </w:r>
          </w:p>
        </w:tc>
      </w:tr>
      <w:tr>
        <w:trPr>
          <w:trHeight w:val="215"/>
        </w:trPr>
        <w:tc>
          <w:tcPr>
            <w:tcW w:w="59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15"/>
        </w:trPr>
        <w:tc>
          <w:tcPr>
            <w:tcW w:w="5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Expected return on plan assets</w:t>
            </w:r>
          </w:p>
        </w:tc>
        <w:tc>
          <w:tcPr>
            <w:tcW w:w="276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(6,051)</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(4,753)</w:t>
            </w:r>
          </w:p>
        </w:tc>
      </w:tr>
      <w:tr>
        <w:trPr>
          <w:trHeight w:val="215"/>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amortization</w:t>
            </w:r>
          </w:p>
        </w:tc>
        <w:tc>
          <w:tcPr>
            <w:tcW w:w="2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16"/>
        </w:trPr>
        <w:tc>
          <w:tcPr>
            <w:tcW w:w="590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Net periodic pension cost</w:t>
            </w:r>
          </w:p>
        </w:tc>
        <w:tc>
          <w:tcPr>
            <w:tcW w:w="27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4,054</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4,464</w:t>
            </w:r>
          </w:p>
        </w:tc>
      </w:tr>
    </w:tbl>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Pension costs recorded to expense were $1,029,000 and $1,179,000 for the three-month periods ended March 31, 2020 and 2019, respectively. Pension costs decreased in 2020 primarily due to improved asset performance and a contribution made during 2019, which were partially offset by a decrease in the discount rate. The Company made no contribution to the plan during the three-month period ended March 31, 2020 and is evaluating the amount of additional contributions, if any, in the remainder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2019 and an estimate for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5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Service cost – benefits earned during the year</w:t>
            </w:r>
          </w:p>
        </w:tc>
        <w:tc>
          <w:tcPr>
            <w:tcW w:w="3620" w:type="dxa"/>
            <w:vAlign w:val="bottom"/>
            <w:shd w:val="clear" w:color="auto" w:fill="B2B2B2"/>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86"/>
              </w:rPr>
              <w:t>121</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97</w:t>
            </w:r>
          </w:p>
        </w:tc>
      </w:tr>
      <w:tr>
        <w:trPr>
          <w:trHeight w:val="215"/>
        </w:trPr>
        <w:tc>
          <w:tcPr>
            <w:tcW w:w="59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347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15"/>
        </w:trPr>
        <w:tc>
          <w:tcPr>
            <w:tcW w:w="590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Net amortization</w:t>
            </w:r>
          </w:p>
        </w:tc>
        <w:tc>
          <w:tcPr>
            <w:tcW w:w="362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86"/>
              </w:rPr>
              <w:t>112</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periodic pension cost</w:t>
            </w:r>
          </w:p>
        </w:tc>
        <w:tc>
          <w:tcPr>
            <w:tcW w:w="36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580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bl>
    <w:p>
      <w:pPr>
        <w:spacing w:after="0" w:line="3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Pension costs recorded to expense were $145,000 and $195,000 for the three-month periods ended March 31, 2020 and 2020, respectively. Pension costs decreased primarily due to the unrecognized loss being amortized over the remaining expected life of the participants rather than the remaining expected service period as almost all of the plan’s participants are inactive. This was partially offset by a decrease in the discount rate.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effective tax rate was 18.1% and 17.6% for the three-month periods ended March 31, 2020 and 2019, respectively. The 2020 and 2019 effective tax rate for the three-month period differs from the statutory rate of 21% primarily due to the tax-exempt interest received from municipal bonds.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7"/>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3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5"/>
        </w:trPr>
        <w:tc>
          <w:tcPr>
            <w:tcW w:w="3880" w:type="dxa"/>
            <w:vAlign w:val="bottom"/>
            <w:shd w:val="clear" w:color="auto" w:fill="B2B2B2"/>
          </w:tcPr>
          <w:p>
            <w:pPr>
              <w:ind w:left="40"/>
              <w:spacing w:after="0"/>
              <w:rPr>
                <w:sz w:val="20"/>
                <w:szCs w:val="20"/>
                <w:color w:val="auto"/>
              </w:rPr>
            </w:pPr>
            <w:r>
              <w:rPr>
                <w:rFonts w:ascii="Arial" w:cs="Arial" w:eastAsia="Arial" w:hAnsi="Arial"/>
                <w:sz w:val="18"/>
                <w:szCs w:val="18"/>
                <w:color w:val="auto"/>
              </w:rPr>
              <w:t>State and political subdivisions</w:t>
            </w:r>
          </w:p>
        </w:tc>
        <w:tc>
          <w:tcPr>
            <w:tcW w:w="31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288,631</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12,010</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300,641</w:t>
            </w:r>
          </w:p>
        </w:tc>
      </w:tr>
      <w:tr>
        <w:trPr>
          <w:trHeight w:val="215"/>
        </w:trPr>
        <w:tc>
          <w:tcPr>
            <w:tcW w:w="388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86,853</w:t>
            </w:r>
          </w:p>
        </w:tc>
      </w:tr>
      <w:tr>
        <w:trPr>
          <w:trHeight w:val="215"/>
        </w:trPr>
        <w:tc>
          <w:tcPr>
            <w:tcW w:w="38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Certificates of deposit</w:t>
            </w:r>
          </w:p>
        </w:tc>
        <w:tc>
          <w:tcPr>
            <w:tcW w:w="30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387,994</w:t>
            </w:r>
          </w:p>
        </w:tc>
      </w:tr>
      <w:tr>
        <w:trPr>
          <w:trHeight w:val="398"/>
        </w:trPr>
        <w:tc>
          <w:tcPr>
            <w:tcW w:w="3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7"/>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3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r>
      <w:tr>
        <w:trPr>
          <w:trHeight w:val="215"/>
        </w:trPr>
        <w:tc>
          <w:tcPr>
            <w:tcW w:w="3880" w:type="dxa"/>
            <w:vAlign w:val="bottom"/>
            <w:shd w:val="clear" w:color="auto" w:fill="B2B2B2"/>
          </w:tcPr>
          <w:p>
            <w:pPr>
              <w:ind w:left="40"/>
              <w:spacing w:after="0"/>
              <w:rPr>
                <w:sz w:val="20"/>
                <w:szCs w:val="20"/>
                <w:color w:val="auto"/>
              </w:rPr>
            </w:pPr>
            <w:r>
              <w:rPr>
                <w:rFonts w:ascii="Arial" w:cs="Arial" w:eastAsia="Arial" w:hAnsi="Arial"/>
                <w:sz w:val="18"/>
                <w:szCs w:val="18"/>
                <w:color w:val="auto"/>
              </w:rPr>
              <w:t>State and political subdivisions</w:t>
            </w:r>
          </w:p>
        </w:tc>
        <w:tc>
          <w:tcPr>
            <w:tcW w:w="31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310,720</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13,727</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324,447</w:t>
            </w:r>
          </w:p>
        </w:tc>
      </w:tr>
      <w:tr>
        <w:trPr>
          <w:trHeight w:val="215"/>
        </w:trPr>
        <w:tc>
          <w:tcPr>
            <w:tcW w:w="388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97,718</w:t>
            </w:r>
          </w:p>
        </w:tc>
      </w:tr>
      <w:tr>
        <w:trPr>
          <w:trHeight w:val="215"/>
        </w:trPr>
        <w:tc>
          <w:tcPr>
            <w:tcW w:w="38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Certificates of deposit</w:t>
            </w:r>
          </w:p>
        </w:tc>
        <w:tc>
          <w:tcPr>
            <w:tcW w:w="30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422,665</w:t>
            </w:r>
          </w:p>
        </w:tc>
      </w:tr>
      <w:tr>
        <w:trPr>
          <w:trHeight w:val="431"/>
        </w:trPr>
        <w:tc>
          <w:tcPr>
            <w:tcW w:w="3880" w:type="dxa"/>
            <w:vAlign w:val="bottom"/>
          </w:tcPr>
          <w:p>
            <w:pPr>
              <w:spacing w:after="0"/>
              <w:rPr>
                <w:sz w:val="24"/>
                <w:szCs w:val="24"/>
                <w:color w:val="auto"/>
              </w:rPr>
            </w:pPr>
          </w:p>
        </w:tc>
        <w:tc>
          <w:tcPr>
            <w:tcW w:w="3000" w:type="dxa"/>
            <w:vAlign w:val="bottom"/>
          </w:tcPr>
          <w:p>
            <w:pPr>
              <w:jc w:val="right"/>
              <w:ind w:right="10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80" w:type="dxa"/>
            <w:vAlign w:val="bottom"/>
            <w:tcBorders>
              <w:bottom w:val="single" w:sz="8" w:color="EEEEEE"/>
            </w:tcBorders>
          </w:tcPr>
          <w:p>
            <w:pPr>
              <w:spacing w:after="0"/>
              <w:rPr>
                <w:sz w:val="18"/>
                <w:szCs w:val="18"/>
                <w:color w:val="auto"/>
              </w:rPr>
            </w:pPr>
          </w:p>
        </w:tc>
        <w:tc>
          <w:tcPr>
            <w:tcW w:w="3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fair values of securities with unrealized losses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March 31, 2020</w:t>
            </w: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ind w:left="20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9"/>
                <w:szCs w:val="19"/>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12 months or more</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b w:val="1"/>
                <w:bCs w:val="1"/>
                <w:color w:val="auto"/>
                <w:w w:val="97"/>
              </w:rPr>
              <w:t>Total</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4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7" w:lineRule="exact"/>
              <w:rPr>
                <w:sz w:val="20"/>
                <w:szCs w:val="20"/>
                <w:color w:val="auto"/>
              </w:rPr>
            </w:pPr>
            <w:r>
              <w:rPr>
                <w:rFonts w:ascii="Arial" w:cs="Arial" w:eastAsia="Arial" w:hAnsi="Arial"/>
                <w:sz w:val="18"/>
                <w:szCs w:val="18"/>
                <w:b w:val="1"/>
                <w:bCs w:val="1"/>
                <w:color w:val="auto"/>
              </w:rPr>
              <w:t>Estimated</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7"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b w:val="1"/>
                <w:bCs w:val="1"/>
                <w:color w:val="auto"/>
              </w:rPr>
              <w:t>Estimated</w:t>
            </w:r>
          </w:p>
        </w:tc>
        <w:tc>
          <w:tcPr>
            <w:tcW w:w="1060" w:type="dxa"/>
            <w:vAlign w:val="bottom"/>
            <w:tcBorders>
              <w:top w:val="single" w:sz="8" w:color="auto"/>
            </w:tcBorders>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Estimated</w:t>
            </w:r>
          </w:p>
        </w:tc>
        <w:tc>
          <w:tcPr>
            <w:tcW w:w="1060" w:type="dxa"/>
            <w:vAlign w:val="bottom"/>
            <w:tcBorders>
              <w:top w:val="single" w:sz="8" w:color="auto"/>
            </w:tcBorders>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r>
      <w:tr>
        <w:trPr>
          <w:trHeight w:val="215"/>
        </w:trPr>
        <w:tc>
          <w:tcPr>
            <w:tcW w:w="4620" w:type="dxa"/>
            <w:vAlign w:val="bottom"/>
            <w:tcBorders>
              <w:top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B2B2B2"/>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62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62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w w:val="99"/>
              </w:rPr>
              <w:t>—  $</w:t>
            </w:r>
          </w:p>
        </w:tc>
        <w:tc>
          <w:tcPr>
            <w:tcW w:w="17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398"/>
        </w:trPr>
        <w:tc>
          <w:tcPr>
            <w:tcW w:w="4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0"/>
              </w:rPr>
              <w:t>December 31, 2019</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ind w:left="20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9"/>
                <w:szCs w:val="19"/>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12 months or more</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b w:val="1"/>
                <w:bCs w:val="1"/>
                <w:color w:val="auto"/>
                <w:w w:val="97"/>
              </w:rPr>
              <w:t>Total</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4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7" w:lineRule="exact"/>
              <w:rPr>
                <w:sz w:val="20"/>
                <w:szCs w:val="20"/>
                <w:color w:val="auto"/>
              </w:rPr>
            </w:pPr>
            <w:r>
              <w:rPr>
                <w:rFonts w:ascii="Arial" w:cs="Arial" w:eastAsia="Arial" w:hAnsi="Arial"/>
                <w:sz w:val="18"/>
                <w:szCs w:val="18"/>
                <w:b w:val="1"/>
                <w:bCs w:val="1"/>
                <w:color w:val="auto"/>
              </w:rPr>
              <w:t>Estimated</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7"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b w:val="1"/>
                <w:bCs w:val="1"/>
                <w:color w:val="auto"/>
              </w:rPr>
              <w:t>Estimated</w:t>
            </w:r>
          </w:p>
        </w:tc>
        <w:tc>
          <w:tcPr>
            <w:tcW w:w="1060" w:type="dxa"/>
            <w:vAlign w:val="bottom"/>
            <w:tcBorders>
              <w:top w:val="single" w:sz="8" w:color="auto"/>
            </w:tcBorders>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Estimated</w:t>
            </w:r>
          </w:p>
        </w:tc>
        <w:tc>
          <w:tcPr>
            <w:tcW w:w="1060" w:type="dxa"/>
            <w:vAlign w:val="bottom"/>
            <w:tcBorders>
              <w:top w:val="single" w:sz="8" w:color="auto"/>
            </w:tcBorders>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r>
      <w:tr>
        <w:trPr>
          <w:trHeight w:val="215"/>
        </w:trPr>
        <w:tc>
          <w:tcPr>
            <w:tcW w:w="4620" w:type="dxa"/>
            <w:vAlign w:val="bottom"/>
            <w:tcBorders>
              <w:top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B2B2B2"/>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62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3,801</w:t>
            </w:r>
          </w:p>
        </w:tc>
        <w:tc>
          <w:tcPr>
            <w:tcW w:w="14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17,593</w:t>
            </w:r>
          </w:p>
        </w:tc>
        <w:tc>
          <w:tcPr>
            <w:tcW w:w="7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r>
      <w:tr>
        <w:trPr>
          <w:trHeight w:val="215"/>
        </w:trPr>
        <w:tc>
          <w:tcPr>
            <w:tcW w:w="462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c>
          <w:tcPr>
            <w:tcW w:w="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3"/>
              </w:rPr>
              <w:t>157</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no securities in an unrealized loss position as of March 31, 2020. There were 9 securities, or 3% of the total (7 greater than 12 months), in an unrealized loss position as of December 31, 2019.</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840"/>
              <w:spacing w:after="0"/>
              <w:rPr>
                <w:sz w:val="20"/>
                <w:szCs w:val="20"/>
                <w:color w:val="auto"/>
              </w:rPr>
            </w:pPr>
            <w:r>
              <w:rPr>
                <w:rFonts w:ascii="Arial" w:cs="Arial" w:eastAsia="Arial" w:hAnsi="Arial"/>
                <w:sz w:val="18"/>
                <w:szCs w:val="18"/>
                <w:b w:val="1"/>
                <w:bCs w:val="1"/>
                <w:color w:val="auto"/>
              </w:rPr>
              <w:t>March 31, 2020</w:t>
            </w:r>
          </w:p>
        </w:tc>
      </w:tr>
      <w:tr>
        <w:trPr>
          <w:trHeight w:val="222"/>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Amortized Cost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5320" w:type="dxa"/>
            <w:vAlign w:val="bottom"/>
            <w:shd w:val="clear" w:color="auto" w:fill="B2B2B2"/>
          </w:tcPr>
          <w:p>
            <w:pPr>
              <w:ind w:left="40"/>
              <w:spacing w:after="0"/>
              <w:rPr>
                <w:sz w:val="20"/>
                <w:szCs w:val="20"/>
                <w:color w:val="auto"/>
              </w:rPr>
            </w:pPr>
            <w:r>
              <w:rPr>
                <w:rFonts w:ascii="Arial" w:cs="Arial" w:eastAsia="Arial" w:hAnsi="Arial"/>
                <w:sz w:val="18"/>
                <w:szCs w:val="18"/>
                <w:color w:val="auto"/>
              </w:rPr>
              <w:t>Due in 1 year or less</w:t>
            </w:r>
          </w:p>
        </w:tc>
        <w:tc>
          <w:tcPr>
            <w:tcW w:w="292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61,709</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62,498</w:t>
            </w:r>
          </w:p>
        </w:tc>
        <w:tc>
          <w:tcPr>
            <w:tcW w:w="20" w:type="dxa"/>
            <w:vAlign w:val="bottom"/>
          </w:tcPr>
          <w:p>
            <w:pPr>
              <w:spacing w:after="0"/>
              <w:rPr>
                <w:sz w:val="18"/>
                <w:szCs w:val="18"/>
                <w:color w:val="auto"/>
              </w:rPr>
            </w:pPr>
          </w:p>
        </w:tc>
      </w:tr>
      <w:tr>
        <w:trPr>
          <w:trHeight w:val="215"/>
        </w:trPr>
        <w:tc>
          <w:tcPr>
            <w:tcW w:w="5320" w:type="dxa"/>
            <w:vAlign w:val="bottom"/>
          </w:tcPr>
          <w:p>
            <w:pPr>
              <w:ind w:left="40"/>
              <w:spacing w:after="0"/>
              <w:rPr>
                <w:sz w:val="20"/>
                <w:szCs w:val="20"/>
                <w:color w:val="auto"/>
              </w:rPr>
            </w:pPr>
            <w:r>
              <w:rPr>
                <w:rFonts w:ascii="Arial" w:cs="Arial" w:eastAsia="Arial" w:hAnsi="Arial"/>
                <w:sz w:val="18"/>
                <w:szCs w:val="18"/>
                <w:color w:val="auto"/>
              </w:rPr>
              <w:t>Due after 1 year through 5 years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80,027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82,183</w:t>
            </w:r>
          </w:p>
        </w:tc>
        <w:tc>
          <w:tcPr>
            <w:tcW w:w="20" w:type="dxa"/>
            <w:vAlign w:val="bottom"/>
          </w:tcPr>
          <w:p>
            <w:pPr>
              <w:spacing w:after="0"/>
              <w:rPr>
                <w:sz w:val="18"/>
                <w:szCs w:val="18"/>
                <w:color w:val="auto"/>
              </w:rPr>
            </w:pPr>
          </w:p>
        </w:tc>
      </w:tr>
      <w:tr>
        <w:trPr>
          <w:trHeight w:val="215"/>
        </w:trPr>
        <w:tc>
          <w:tcPr>
            <w:tcW w:w="5320" w:type="dxa"/>
            <w:vAlign w:val="bottom"/>
            <w:shd w:val="clear" w:color="auto" w:fill="B2B2B2"/>
          </w:tcPr>
          <w:p>
            <w:pPr>
              <w:ind w:left="40"/>
              <w:spacing w:after="0"/>
              <w:rPr>
                <w:sz w:val="20"/>
                <w:szCs w:val="20"/>
                <w:color w:val="auto"/>
              </w:rPr>
            </w:pPr>
            <w:r>
              <w:rPr>
                <w:rFonts w:ascii="Arial" w:cs="Arial" w:eastAsia="Arial" w:hAnsi="Arial"/>
                <w:sz w:val="18"/>
                <w:szCs w:val="18"/>
                <w:color w:val="auto"/>
              </w:rPr>
              <w:t>Due after 5 years through 10 years</w:t>
            </w:r>
          </w:p>
        </w:tc>
        <w:tc>
          <w:tcPr>
            <w:tcW w:w="28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199,491</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209,364</w:t>
            </w:r>
          </w:p>
        </w:tc>
        <w:tc>
          <w:tcPr>
            <w:tcW w:w="20" w:type="dxa"/>
            <w:vAlign w:val="bottom"/>
          </w:tcPr>
          <w:p>
            <w:pPr>
              <w:spacing w:after="0"/>
              <w:rPr>
                <w:sz w:val="18"/>
                <w:szCs w:val="18"/>
                <w:color w:val="auto"/>
              </w:rPr>
            </w:pPr>
          </w:p>
        </w:tc>
      </w:tr>
      <w:tr>
        <w:trPr>
          <w:trHeight w:val="215"/>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Due after 10 years</w:t>
            </w:r>
          </w:p>
        </w:tc>
        <w:tc>
          <w:tcPr>
            <w:tcW w:w="2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33,193</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33,949</w:t>
            </w:r>
          </w:p>
        </w:tc>
        <w:tc>
          <w:tcPr>
            <w:tcW w:w="20" w:type="dxa"/>
            <w:vAlign w:val="bottom"/>
          </w:tcPr>
          <w:p>
            <w:pPr>
              <w:spacing w:after="0"/>
              <w:rPr>
                <w:sz w:val="18"/>
                <w:szCs w:val="18"/>
                <w:color w:val="auto"/>
              </w:rPr>
            </w:pPr>
          </w:p>
        </w:tc>
      </w:tr>
      <w:tr>
        <w:trPr>
          <w:trHeight w:val="216"/>
        </w:trPr>
        <w:tc>
          <w:tcPr>
            <w:tcW w:w="532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374,420</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387,994</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of investment securities classified as available for sale were $19,629,000 and $1,101,000 for the three months ended March 31, 2020 and 2019, respectively. Gross realized gains were $1,069,000 and $11,000 for the three months ended March 31, 2020 and 2019, respectively. There were no securities pledged to secure public deposits or for other purposes at March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ind w:left="360"/>
              <w:spacing w:after="0"/>
              <w:rPr>
                <w:sz w:val="20"/>
                <w:szCs w:val="20"/>
                <w:color w:val="auto"/>
              </w:rPr>
            </w:pPr>
            <w:r>
              <w:rPr>
                <w:rFonts w:ascii="Arial" w:cs="Arial" w:eastAsia="Arial" w:hAnsi="Arial"/>
                <w:sz w:val="18"/>
                <w:szCs w:val="18"/>
                <w:b w:val="1"/>
                <w:bCs w:val="1"/>
                <w:color w:val="auto"/>
              </w:rPr>
              <w:t>March 31, 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 2019</w:t>
            </w:r>
          </w:p>
        </w:tc>
      </w:tr>
      <w:tr>
        <w:trPr>
          <w:trHeight w:val="197"/>
        </w:trPr>
        <w:tc>
          <w:tcPr>
            <w:tcW w:w="38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0"/>
              </w:rPr>
              <w:t>Fair Value</w:t>
            </w:r>
          </w:p>
        </w:tc>
      </w:tr>
      <w:tr>
        <w:trPr>
          <w:trHeight w:val="215"/>
        </w:trPr>
        <w:tc>
          <w:tcPr>
            <w:tcW w:w="3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sheet assets:</w:t>
            </w:r>
          </w:p>
        </w:tc>
        <w:tc>
          <w:tcPr>
            <w:tcW w:w="2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163,194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163,194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203,954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203,954</w:t>
            </w:r>
          </w:p>
        </w:tc>
      </w:tr>
      <w:tr>
        <w:trPr>
          <w:trHeight w:val="215"/>
        </w:trPr>
        <w:tc>
          <w:tcPr>
            <w:tcW w:w="3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Investment securities</w:t>
            </w:r>
          </w:p>
        </w:tc>
        <w:tc>
          <w:tcPr>
            <w:tcW w:w="2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387,994</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387,994</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422,665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422,665</w:t>
            </w: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843,891</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850,634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762,082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776,653</w:t>
            </w:r>
          </w:p>
        </w:tc>
      </w:tr>
      <w:tr>
        <w:trPr>
          <w:trHeight w:val="215"/>
        </w:trPr>
        <w:tc>
          <w:tcPr>
            <w:tcW w:w="38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Accrued interest receivable</w:t>
            </w:r>
          </w:p>
        </w:tc>
        <w:tc>
          <w:tcPr>
            <w:tcW w:w="290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5,866</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5,866</w:t>
            </w:r>
          </w:p>
        </w:tc>
        <w:tc>
          <w:tcPr>
            <w:tcW w:w="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6,706</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6,706</w:t>
            </w:r>
          </w:p>
        </w:tc>
      </w:tr>
      <w:tr>
        <w:trPr>
          <w:trHeight w:val="209"/>
        </w:trPr>
        <w:tc>
          <w:tcPr>
            <w:tcW w:w="3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1,407,688</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1,409,978</w:t>
            </w:r>
          </w:p>
        </w:tc>
      </w:tr>
      <w:tr>
        <w:trPr>
          <w:trHeight w:val="209"/>
        </w:trPr>
        <w:tc>
          <w:tcPr>
            <w:tcW w:w="3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Balance sheet liabilities:</w:t>
            </w:r>
          </w:p>
        </w:tc>
        <w:tc>
          <w:tcPr>
            <w:tcW w:w="2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726,607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726,607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757,136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757,790</w:t>
            </w:r>
          </w:p>
        </w:tc>
      </w:tr>
      <w:tr>
        <w:trPr>
          <w:trHeight w:val="215"/>
        </w:trPr>
        <w:tc>
          <w:tcPr>
            <w:tcW w:w="3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2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702,069</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702,069</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684,295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684,295</w:t>
            </w:r>
          </w:p>
        </w:tc>
      </w:tr>
      <w:tr>
        <w:trPr>
          <w:trHeight w:val="215"/>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Accrued interest payable</w:t>
            </w:r>
          </w:p>
        </w:tc>
        <w:tc>
          <w:tcPr>
            <w:tcW w:w="2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60" w:type="dxa"/>
            <w:vAlign w:val="bottom"/>
            <w:tcBorders>
              <w:bottom w:val="single" w:sz="8" w:color="auto"/>
            </w:tcBorders>
            <w:shd w:val="clear" w:color="auto" w:fill="B2B2B2"/>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1,428,800</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1,428,800</w:t>
            </w:r>
          </w:p>
        </w:tc>
        <w:tc>
          <w:tcPr>
            <w:tcW w:w="4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1,441,534</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1,442,188</w:t>
            </w:r>
          </w:p>
        </w:tc>
      </w:tr>
      <w:tr>
        <w:trPr>
          <w:trHeight w:val="431"/>
        </w:trPr>
        <w:tc>
          <w:tcPr>
            <w:tcW w:w="3860" w:type="dxa"/>
            <w:vAlign w:val="bottom"/>
          </w:tcPr>
          <w:p>
            <w:pPr>
              <w:spacing w:after="0"/>
              <w:rPr>
                <w:sz w:val="24"/>
                <w:szCs w:val="24"/>
                <w:color w:val="auto"/>
              </w:rPr>
            </w:pPr>
          </w:p>
        </w:tc>
        <w:tc>
          <w:tcPr>
            <w:tcW w:w="2900" w:type="dxa"/>
            <w:vAlign w:val="bottom"/>
          </w:tcPr>
          <w:p>
            <w:pPr>
              <w:jc w:val="right"/>
              <w:ind w:right="89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60" w:type="dxa"/>
            <w:vAlign w:val="bottom"/>
            <w:tcBorders>
              <w:bottom w:val="single" w:sz="8" w:color="EEEEEE"/>
            </w:tcBorders>
          </w:tcPr>
          <w:p>
            <w:pPr>
              <w:spacing w:after="0"/>
              <w:rPr>
                <w:sz w:val="18"/>
                <w:szCs w:val="18"/>
                <w:color w:val="auto"/>
              </w:rPr>
            </w:pPr>
          </w:p>
        </w:tc>
        <w:tc>
          <w:tcPr>
            <w:tcW w:w="29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no transfers between Levels 1 and 2 of the fair value hierarchy for the three months ended March 31, 2020 and 2019. No financial instruments are measured using Level 3 inputs for the three months ended March 31, 2020 and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services that fall within the scope of FASB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 Since interest income on loans and securities are both excluded from this topic, a significant portion of the Company’s revenues are not subject to the guidance.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Invoice processing fees </w:t>
      </w:r>
      <w:r>
        <w:rPr>
          <w:rFonts w:ascii="Arial" w:cs="Arial" w:eastAsia="Arial" w:hAnsi="Arial"/>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w:t>
      </w:r>
      <w:r>
        <w:rPr>
          <w:rFonts w:ascii="Arial" w:cs="Arial" w:eastAsia="Arial" w:hAnsi="Arial"/>
          <w:sz w:val="18"/>
          <w:szCs w:val="18"/>
          <w:i w:val="1"/>
          <w:iCs w:val="1"/>
          <w:color w:val="auto"/>
        </w:rPr>
        <w:t xml:space="preserve"> </w:t>
      </w:r>
      <w:r>
        <w:rPr>
          <w:rFonts w:ascii="Arial" w:cs="Arial" w:eastAsia="Arial" w:hAnsi="Arial"/>
          <w:sz w:val="18"/>
          <w:szCs w:val="18"/>
          <w:color w:val="auto"/>
        </w:rPr>
        <w:t>to a third party and substantially all of the consideration for the transfer of property is received.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9"/>
              </w:rPr>
              <w:t>For the Three Months</w:t>
            </w:r>
          </w:p>
        </w:tc>
      </w:tr>
      <w:tr>
        <w:trPr>
          <w:trHeight w:val="241"/>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Ended March 31,</w:t>
            </w:r>
          </w:p>
        </w:tc>
      </w:tr>
      <w:tr>
        <w:trPr>
          <w:trHeight w:val="222"/>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5"/>
        </w:trPr>
        <w:tc>
          <w:tcPr>
            <w:tcW w:w="8540" w:type="dxa"/>
            <w:vAlign w:val="bottom"/>
            <w:shd w:val="clear" w:color="auto" w:fill="B2B2B2"/>
          </w:tcPr>
          <w:p>
            <w:pPr>
              <w:ind w:left="40"/>
              <w:spacing w:after="0"/>
              <w:rPr>
                <w:sz w:val="20"/>
                <w:szCs w:val="20"/>
                <w:color w:val="auto"/>
              </w:rPr>
            </w:pPr>
            <w:r>
              <w:rPr>
                <w:rFonts w:ascii="Arial" w:cs="Arial" w:eastAsia="Arial" w:hAnsi="Arial"/>
                <w:sz w:val="18"/>
                <w:szCs w:val="18"/>
                <w:color w:val="auto"/>
              </w:rPr>
              <w:t>Fee revenue and other income</w:t>
            </w:r>
          </w:p>
        </w:tc>
        <w:tc>
          <w:tcPr>
            <w:tcW w:w="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r>
      <w:tr>
        <w:trPr>
          <w:trHeight w:val="215"/>
        </w:trPr>
        <w:tc>
          <w:tcPr>
            <w:tcW w:w="8540" w:type="dxa"/>
            <w:vAlign w:val="bottom"/>
          </w:tcPr>
          <w:p>
            <w:pPr>
              <w:ind w:left="180"/>
              <w:spacing w:after="0"/>
              <w:rPr>
                <w:sz w:val="20"/>
                <w:szCs w:val="20"/>
                <w:color w:val="auto"/>
              </w:rPr>
            </w:pPr>
            <w:r>
              <w:rPr>
                <w:rFonts w:ascii="Arial" w:cs="Arial" w:eastAsia="Arial" w:hAnsi="Arial"/>
                <w:sz w:val="18"/>
                <w:szCs w:val="18"/>
                <w:i w:val="1"/>
                <w:iCs w:val="1"/>
                <w:color w:val="auto"/>
              </w:rPr>
              <w:t>In-scope of FASB ASC 606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85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Invoice processing fees</w:t>
            </w:r>
          </w:p>
        </w:tc>
        <w:tc>
          <w:tcPr>
            <w:tcW w:w="400" w:type="dxa"/>
            <w:vAlign w:val="bottom"/>
            <w:gridSpan w:val="2"/>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B2B2B2"/>
          </w:tcPr>
          <w:p>
            <w:pPr>
              <w:ind w:left="480"/>
              <w:spacing w:after="0"/>
              <w:rPr>
                <w:sz w:val="20"/>
                <w:szCs w:val="20"/>
                <w:color w:val="auto"/>
              </w:rPr>
            </w:pPr>
            <w:r>
              <w:rPr>
                <w:rFonts w:ascii="Arial" w:cs="Arial" w:eastAsia="Arial" w:hAnsi="Arial"/>
                <w:sz w:val="18"/>
                <w:szCs w:val="18"/>
                <w:color w:val="auto"/>
                <w:w w:val="94"/>
              </w:rPr>
              <w:t>19,124</w:t>
            </w:r>
          </w:p>
        </w:tc>
        <w:tc>
          <w:tcPr>
            <w:tcW w:w="320" w:type="dxa"/>
            <w:vAlign w:val="bottom"/>
            <w:gridSpan w:val="2"/>
            <w:shd w:val="clear" w:color="auto" w:fill="B2B2B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20,542</w:t>
            </w:r>
          </w:p>
        </w:tc>
      </w:tr>
      <w:tr>
        <w:trPr>
          <w:trHeight w:val="215"/>
        </w:trPr>
        <w:tc>
          <w:tcPr>
            <w:tcW w:w="8540" w:type="dxa"/>
            <w:vAlign w:val="bottom"/>
          </w:tcPr>
          <w:p>
            <w:pPr>
              <w:ind w:left="360"/>
              <w:spacing w:after="0"/>
              <w:rPr>
                <w:sz w:val="20"/>
                <w:szCs w:val="20"/>
                <w:color w:val="auto"/>
              </w:rPr>
            </w:pPr>
            <w:r>
              <w:rPr>
                <w:rFonts w:ascii="Arial" w:cs="Arial" w:eastAsia="Arial" w:hAnsi="Arial"/>
                <w:sz w:val="18"/>
                <w:szCs w:val="18"/>
                <w:color w:val="auto"/>
              </w:rPr>
              <w:t>Invoice payment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6,379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5,915</w:t>
            </w:r>
          </w:p>
        </w:tc>
      </w:tr>
      <w:tr>
        <w:trPr>
          <w:trHeight w:val="209"/>
        </w:trPr>
        <w:tc>
          <w:tcPr>
            <w:tcW w:w="854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Information services payment and processing revenue</w:t>
            </w:r>
          </w:p>
        </w:tc>
        <w:tc>
          <w:tcPr>
            <w:tcW w:w="12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w w:val="83"/>
              </w:rPr>
              <w:t>25,503</w:t>
            </w:r>
          </w:p>
        </w:tc>
        <w:tc>
          <w:tcPr>
            <w:tcW w:w="6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26,457</w:t>
            </w:r>
          </w:p>
        </w:tc>
      </w:tr>
      <w:tr>
        <w:trPr>
          <w:trHeight w:val="215"/>
        </w:trPr>
        <w:tc>
          <w:tcPr>
            <w:tcW w:w="8540" w:type="dxa"/>
            <w:vAlign w:val="bottom"/>
          </w:tcPr>
          <w:p>
            <w:pPr>
              <w:ind w:left="360"/>
              <w:spacing w:after="0"/>
              <w:rPr>
                <w:sz w:val="20"/>
                <w:szCs w:val="20"/>
                <w:color w:val="auto"/>
              </w:rPr>
            </w:pPr>
            <w:r>
              <w:rPr>
                <w:rFonts w:ascii="Arial" w:cs="Arial" w:eastAsia="Arial" w:hAnsi="Arial"/>
                <w:sz w:val="18"/>
                <w:szCs w:val="18"/>
                <w:color w:val="auto"/>
              </w:rPr>
              <w:t>Bank service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09"/>
        </w:trPr>
        <w:tc>
          <w:tcPr>
            <w:tcW w:w="8540" w:type="dxa"/>
            <w:vAlign w:val="bottom"/>
            <w:tcBorders>
              <w:top w:val="single" w:sz="8" w:color="B2B2B2"/>
            </w:tcBorders>
            <w:shd w:val="clear" w:color="auto" w:fill="B2B2B2"/>
          </w:tcPr>
          <w:p>
            <w:pPr>
              <w:ind w:left="180"/>
              <w:spacing w:after="0"/>
              <w:rPr>
                <w:sz w:val="20"/>
                <w:szCs w:val="20"/>
                <w:color w:val="auto"/>
              </w:rPr>
            </w:pPr>
            <w:r>
              <w:rPr>
                <w:rFonts w:ascii="Arial" w:cs="Arial" w:eastAsia="Arial" w:hAnsi="Arial"/>
                <w:sz w:val="18"/>
                <w:szCs w:val="18"/>
                <w:color w:val="auto"/>
              </w:rPr>
              <w:t>Fee revenue (in-scope of FASB ASC 606)</w:t>
            </w:r>
          </w:p>
        </w:tc>
        <w:tc>
          <w:tcPr>
            <w:tcW w:w="12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w w:val="83"/>
              </w:rPr>
              <w:t>25,913</w:t>
            </w:r>
          </w:p>
        </w:tc>
        <w:tc>
          <w:tcPr>
            <w:tcW w:w="6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26,833</w:t>
            </w:r>
          </w:p>
        </w:tc>
      </w:tr>
      <w:tr>
        <w:trPr>
          <w:trHeight w:val="215"/>
        </w:trPr>
        <w:tc>
          <w:tcPr>
            <w:tcW w:w="8540" w:type="dxa"/>
            <w:vAlign w:val="bottom"/>
          </w:tcPr>
          <w:p>
            <w:pPr>
              <w:ind w:left="180"/>
              <w:spacing w:after="0"/>
              <w:rPr>
                <w:sz w:val="20"/>
                <w:szCs w:val="20"/>
                <w:color w:val="auto"/>
              </w:rPr>
            </w:pPr>
            <w:r>
              <w:rPr>
                <w:rFonts w:ascii="Arial" w:cs="Arial" w:eastAsia="Arial" w:hAnsi="Arial"/>
                <w:sz w:val="18"/>
                <w:szCs w:val="18"/>
                <w:color w:val="auto"/>
              </w:rPr>
              <w:t>Other income (out-of-scope of FASB ASC 606)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09"/>
        </w:trPr>
        <w:tc>
          <w:tcPr>
            <w:tcW w:w="854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Total fee revenue and other income</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8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w w:val="83"/>
              </w:rPr>
              <w:t>27,095</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27,013</w:t>
            </w:r>
          </w:p>
        </w:tc>
      </w:tr>
      <w:tr>
        <w:trPr>
          <w:trHeight w:val="195"/>
        </w:trPr>
        <w:tc>
          <w:tcPr>
            <w:tcW w:w="85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r>
      <w:tr>
        <w:trPr>
          <w:trHeight w:val="256"/>
        </w:trPr>
        <w:tc>
          <w:tcPr>
            <w:tcW w:w="8540" w:type="dxa"/>
            <w:vAlign w:val="bottom"/>
          </w:tcPr>
          <w:p>
            <w:pPr>
              <w:ind w:left="180"/>
              <w:spacing w:after="0" w:line="256" w:lineRule="exact"/>
              <w:rPr>
                <w:sz w:val="20"/>
                <w:szCs w:val="20"/>
                <w:color w:val="auto"/>
              </w:rPr>
            </w:pPr>
            <w:r>
              <w:rPr>
                <w:rFonts w:ascii="Arial" w:cs="Arial" w:eastAsia="Arial" w:hAnsi="Arial"/>
                <w:sz w:val="18"/>
                <w:szCs w:val="18"/>
                <w:color w:val="auto"/>
              </w:rPr>
              <w:t>Net interest income after provision for loan losses (out-of-scope of FASB ASC 606)</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w w:val="94"/>
              </w:rPr>
              <w:t>11,048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11,357</w:t>
            </w:r>
          </w:p>
        </w:tc>
      </w:tr>
      <w:tr>
        <w:trPr>
          <w:trHeight w:val="222"/>
        </w:trPr>
        <w:tc>
          <w:tcPr>
            <w:tcW w:w="854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B2B2B2"/>
            </w:tcBorders>
            <w:shd w:val="clear" w:color="auto" w:fill="B2B2B2"/>
          </w:tcPr>
          <w:p>
            <w:pPr>
              <w:spacing w:after="0"/>
              <w:rPr>
                <w:sz w:val="19"/>
                <w:szCs w:val="19"/>
                <w:color w:val="auto"/>
              </w:rPr>
            </w:pPr>
          </w:p>
        </w:tc>
        <w:tc>
          <w:tcPr>
            <w:tcW w:w="280" w:type="dxa"/>
            <w:vAlign w:val="bottom"/>
            <w:tcBorders>
              <w:top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w w:val="83"/>
              </w:rPr>
              <w:t>38,143</w:t>
            </w:r>
          </w:p>
        </w:tc>
        <w:tc>
          <w:tcPr>
            <w:tcW w:w="60" w:type="dxa"/>
            <w:vAlign w:val="bottom"/>
            <w:tcBorders>
              <w:top w:val="single" w:sz="8" w:color="B2B2B2"/>
            </w:tcBorders>
            <w:shd w:val="clear" w:color="auto" w:fill="B2B2B2"/>
          </w:tcPr>
          <w:p>
            <w:pPr>
              <w:spacing w:after="0"/>
              <w:rPr>
                <w:sz w:val="19"/>
                <w:szCs w:val="19"/>
                <w:color w:val="auto"/>
              </w:rPr>
            </w:pPr>
          </w:p>
        </w:tc>
        <w:tc>
          <w:tcPr>
            <w:tcW w:w="60" w:type="dxa"/>
            <w:vAlign w:val="bottom"/>
            <w:tcBorders>
              <w:top w:val="single" w:sz="8" w:color="B2B2B2"/>
            </w:tcBorders>
            <w:shd w:val="clear" w:color="auto" w:fill="B2B2B2"/>
          </w:tcPr>
          <w:p>
            <w:pPr>
              <w:spacing w:after="0"/>
              <w:rPr>
                <w:sz w:val="19"/>
                <w:szCs w:val="19"/>
                <w:color w:val="auto"/>
              </w:rPr>
            </w:pPr>
          </w:p>
        </w:tc>
        <w:tc>
          <w:tcPr>
            <w:tcW w:w="260" w:type="dxa"/>
            <w:vAlign w:val="bottom"/>
            <w:tcBorders>
              <w:top w:val="single" w:sz="8" w:color="auto"/>
            </w:tcBorders>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38,370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44"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Company earns interest income from the balances generated during the invoice processing and payment cycle and on deposit accounts, which is an integral component of the Company’s compensation; but, is out-of-scope of FASB ASC 606.</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2019, the Company adopted Accounting Standards Update (“ASU”) No. 2016-02 – </w:t>
      </w:r>
      <w:r>
        <w:rPr>
          <w:rFonts w:ascii="Arial" w:cs="Arial" w:eastAsia="Arial" w:hAnsi="Arial"/>
          <w:sz w:val="17"/>
          <w:szCs w:val="17"/>
          <w:i w:val="1"/>
          <w:iCs w:val="1"/>
          <w:color w:val="auto"/>
        </w:rPr>
        <w:t>Leases (ASC Topic 842)</w:t>
      </w:r>
      <w:r>
        <w:rPr>
          <w:rFonts w:ascii="Arial" w:cs="Arial" w:eastAsia="Arial" w:hAnsi="Arial"/>
          <w:sz w:val="17"/>
          <w:szCs w:val="17"/>
          <w:color w:val="auto"/>
        </w:rPr>
        <w:t>. The Company leases certain premises under operating leases. As of March 31, 2020, the Company had lease liabilities of $7,146,000 and right-of-use assets of $6,367,000. As of March 31, 2019, the Company had lease liabilities of $7,590,000 and right-of-use assets of $6,895,000. Lease liabilities and right-of-use assets are reflected in other liabilities and other assets, respectively. Presented within occupancy expense on the Consolidated Statements of Income for the three months ended March 31, 2020, operating lease cost was $418,000, short-term lease cost was $24,000, and there was no variable lease cost. For the three months ended March 31, 2020, the weighted average remaining lease term for the operating leases was 6.9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2019. See the Company’s 2019 Annual Report on Form 10-K for information regarding these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maturity analysis of operating lease liabilities and undiscounted cash flows for the three months ended March 31,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15"/>
        </w:trPr>
        <w:tc>
          <w:tcPr>
            <w:tcW w:w="6060" w:type="dxa"/>
            <w:vAlign w:val="bottom"/>
            <w:shd w:val="clear" w:color="auto" w:fill="B2B2B2"/>
          </w:tcPr>
          <w:p>
            <w:pPr>
              <w:ind w:left="40"/>
              <w:spacing w:after="0"/>
              <w:rPr>
                <w:sz w:val="20"/>
                <w:szCs w:val="20"/>
                <w:color w:val="auto"/>
              </w:rPr>
            </w:pPr>
            <w:r>
              <w:rPr>
                <w:rFonts w:ascii="Arial" w:cs="Arial" w:eastAsia="Arial" w:hAnsi="Arial"/>
                <w:sz w:val="18"/>
                <w:szCs w:val="18"/>
                <w:color w:val="auto"/>
              </w:rPr>
              <w:t>Lease payments due</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3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1,841</w:t>
            </w: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1-2 years</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1,658</w:t>
            </w: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2-3 years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3-4 years</w:t>
            </w:r>
          </w:p>
        </w:tc>
        <w:tc>
          <w:tcPr>
            <w:tcW w:w="376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578</w:t>
            </w: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4-5 years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15"/>
        </w:trPr>
        <w:tc>
          <w:tcPr>
            <w:tcW w:w="60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Over 5 years</w:t>
            </w:r>
          </w:p>
        </w:tc>
        <w:tc>
          <w:tcPr>
            <w:tcW w:w="376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2,407</w:t>
            </w:r>
          </w:p>
        </w:tc>
      </w:tr>
      <w:tr>
        <w:trPr>
          <w:trHeight w:val="209"/>
        </w:trPr>
        <w:tc>
          <w:tcPr>
            <w:tcW w:w="606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3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8,496</w:t>
            </w:r>
          </w:p>
        </w:tc>
      </w:tr>
      <w:tr>
        <w:trPr>
          <w:trHeight w:val="215"/>
        </w:trPr>
        <w:tc>
          <w:tcPr>
            <w:tcW w:w="606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Discount on cash flows</w:t>
            </w:r>
          </w:p>
        </w:tc>
        <w:tc>
          <w:tcPr>
            <w:tcW w:w="376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1,350</w:t>
            </w:r>
          </w:p>
        </w:tc>
      </w:tr>
      <w:tr>
        <w:trPr>
          <w:trHeight w:val="216"/>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lease liability</w:t>
            </w:r>
          </w:p>
        </w:tc>
        <w:tc>
          <w:tcPr>
            <w:tcW w:w="3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r>
    </w:tbl>
    <w:p>
      <w:pPr>
        <w:spacing w:after="0" w:line="36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three months ended March 31, 2020. At March 31, 2020, the Company did not have any leases that had not yet commenced.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In accordance with FASB ASC 855, </w:t>
      </w:r>
      <w:r>
        <w:rPr>
          <w:rFonts w:ascii="Arial" w:cs="Arial" w:eastAsia="Arial" w:hAnsi="Arial"/>
          <w:sz w:val="17"/>
          <w:szCs w:val="17"/>
          <w:i w:val="1"/>
          <w:iCs w:val="1"/>
          <w:color w:val="auto"/>
        </w:rPr>
        <w:t>Subsequent Events</w:t>
      </w:r>
      <w:r>
        <w:rPr>
          <w:rFonts w:ascii="Arial" w:cs="Arial" w:eastAsia="Arial" w:hAnsi="Arial"/>
          <w:sz w:val="17"/>
          <w:szCs w:val="17"/>
          <w:color w:val="auto"/>
        </w:rPr>
        <w:t>, the Company has evaluated subsequent events after the consolidated balance sheet date of March 31, 2020. With the exception of COVID-19 as discussed in Note 1 “Basis of Presentation,” there were no events identified that would require additional disclosures to prevent the Company’s unaudited consolidated financial statements from being misleading.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breadth of the impact of the global emergence of COVID-19 on the Company’s business is currently unknown. Cass is closely monitoring developments related to COVID-19 checking regularly for updated information and recommendations from the World Health Organization and the U.S. Centers for Disease Control and Prevention, from national, state, and local governments, and courses of action being taken by peers. Cass remains committed to creating a safe and healthy environment for employees while offering assurance that it remains a financially strong service provider possessing the resources necessary to weather this storm in support of its valued customers.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has deferred borrower principal payments on loans, on an as needed basis, for periods of up to six months. As of April 30, 2020, Cass had processed 343 applications for Paycheck Protection Program (“PPP”) loans of approximately $180,000,000 to provide much-needed cash to small business and self-employed taxpayers during the COVID-19 crisis. The loans were primarily made to existing Cass customers and are 100% guaranteed by the Small Business Administration.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COVID-19, refer to Note 1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provides a B2B payment platform for clients that require an agile fintech partner. Additionally, the Company uses an on-line platform to provide generosity services for faith-based and non-profit organizations, which is a complementary service offering to the Bank’s faith-based customers. The Company also, through Cass Commercial Bank, its St. Louis, Missouri-based bank subsidiary (“the Bank”),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2019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Company performs periodic and systematic detailed reviews of its loan portfolio to assess overall collectability. The level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In accordance with the Coronavirus Aid, Relief, and Economic Security (“CARES”) Act, the Company elected to defer the adoption of the current expected credit losses methodology and expects to continue to utilize the present processes until the earlier of December 31, 2020 or the date the national emergency declaration is terminated.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March 31, 2020 (“First Quarter of 2020”) compared to the three-month period ended March 31, 2019 (“First Quarter of 2019”). The following discussion and analysis should be read in conjunction with the unaudited consolidated financial statements and related notes and with the statistical information and financial data appearing in this report, as well as in the Company's 2019 Annual Report on Form 10-K. Results of operations for the First Quarter of 2020 are not necessarily indicative of the results to be attained for any other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w w:val="97"/>
              </w:rPr>
              <w:t>The following table summarizes the Company’s operating results:</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5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6"/>
              </w:rPr>
              <w:t>First Quarter of</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 except per share data)</w:t>
            </w:r>
          </w:p>
        </w:tc>
        <w:tc>
          <w:tcPr>
            <w:tcW w:w="2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89"/>
              </w:rPr>
              <w:t>% Change</w:t>
            </w:r>
          </w:p>
        </w:tc>
        <w:tc>
          <w:tcPr>
            <w:tcW w:w="20" w:type="dxa"/>
            <w:vAlign w:val="bottom"/>
          </w:tcPr>
          <w:p>
            <w:pPr>
              <w:spacing w:after="0"/>
              <w:rPr>
                <w:sz w:val="19"/>
                <w:szCs w:val="19"/>
                <w:color w:val="auto"/>
              </w:rPr>
            </w:pPr>
          </w:p>
        </w:tc>
      </w:tr>
      <w:tr>
        <w:trPr>
          <w:trHeight w:val="215"/>
        </w:trPr>
        <w:tc>
          <w:tcPr>
            <w:tcW w:w="5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7,545</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270"/>
              <w:spacing w:after="0"/>
              <w:rPr>
                <w:sz w:val="20"/>
                <w:szCs w:val="20"/>
                <w:color w:val="auto"/>
              </w:rPr>
            </w:pPr>
            <w:r>
              <w:rPr>
                <w:rFonts w:ascii="Arial" w:cs="Arial" w:eastAsia="Arial" w:hAnsi="Arial"/>
                <w:sz w:val="18"/>
                <w:szCs w:val="18"/>
                <w:color w:val="auto"/>
              </w:rPr>
              <w:t>8,163</w:t>
            </w:r>
          </w:p>
        </w:tc>
        <w:tc>
          <w:tcPr>
            <w:tcW w:w="1020" w:type="dxa"/>
            <w:vAlign w:val="bottom"/>
            <w:tcBorders>
              <w:right w:val="single" w:sz="8" w:color="B2B2B2"/>
            </w:tcBorders>
            <w:shd w:val="clear" w:color="auto" w:fill="B2B2B2"/>
          </w:tcPr>
          <w:p>
            <w:pPr>
              <w:jc w:val="center"/>
              <w:ind w:right="10"/>
              <w:spacing w:after="0"/>
              <w:rPr>
                <w:sz w:val="20"/>
                <w:szCs w:val="20"/>
                <w:color w:val="auto"/>
              </w:rPr>
            </w:pPr>
            <w:r>
              <w:rPr>
                <w:rFonts w:ascii="Arial" w:cs="Arial" w:eastAsia="Arial" w:hAnsi="Arial"/>
                <w:sz w:val="18"/>
                <w:szCs w:val="18"/>
                <w:color w:val="auto"/>
                <w:w w:val="90"/>
              </w:rPr>
              <w:t>(7.6)%</w:t>
            </w:r>
          </w:p>
        </w:tc>
        <w:tc>
          <w:tcPr>
            <w:tcW w:w="20" w:type="dxa"/>
            <w:vAlign w:val="bottom"/>
          </w:tcPr>
          <w:p>
            <w:pPr>
              <w:spacing w:after="0"/>
              <w:rPr>
                <w:sz w:val="18"/>
                <w:szCs w:val="18"/>
                <w:color w:val="auto"/>
              </w:rPr>
            </w:pPr>
          </w:p>
        </w:tc>
      </w:tr>
      <w:tr>
        <w:trPr>
          <w:trHeight w:val="215"/>
        </w:trPr>
        <w:tc>
          <w:tcPr>
            <w:tcW w:w="51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0"/>
              </w:rPr>
              <w:t>(5.5)%</w:t>
            </w:r>
          </w:p>
        </w:tc>
        <w:tc>
          <w:tcPr>
            <w:tcW w:w="20" w:type="dxa"/>
            <w:vAlign w:val="bottom"/>
          </w:tcPr>
          <w:p>
            <w:pPr>
              <w:spacing w:after="0"/>
              <w:rPr>
                <w:sz w:val="18"/>
                <w:szCs w:val="18"/>
                <w:color w:val="auto"/>
              </w:rPr>
            </w:pPr>
          </w:p>
        </w:tc>
      </w:tr>
      <w:tr>
        <w:trPr>
          <w:trHeight w:val="215"/>
        </w:trPr>
        <w:tc>
          <w:tcPr>
            <w:tcW w:w="5100" w:type="dxa"/>
            <w:vAlign w:val="bottom"/>
            <w:shd w:val="clear" w:color="auto" w:fill="B2B2B2"/>
          </w:tcPr>
          <w:p>
            <w:pPr>
              <w:ind w:left="40"/>
              <w:spacing w:after="0"/>
              <w:rPr>
                <w:sz w:val="20"/>
                <w:szCs w:val="20"/>
                <w:color w:val="auto"/>
              </w:rPr>
            </w:pPr>
            <w:r>
              <w:rPr>
                <w:rFonts w:ascii="Arial" w:cs="Arial" w:eastAsia="Arial" w:hAnsi="Arial"/>
                <w:sz w:val="18"/>
                <w:szCs w:val="18"/>
                <w:color w:val="auto"/>
              </w:rPr>
              <w:t>Return on average assets</w:t>
            </w:r>
          </w:p>
        </w:tc>
        <w:tc>
          <w:tcPr>
            <w:tcW w:w="22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1.96%</w:t>
            </w:r>
          </w:p>
        </w:tc>
        <w:tc>
          <w:tcPr>
            <w:tcW w:w="1020" w:type="dxa"/>
            <w:vAlign w:val="bottom"/>
            <w:tcBorders>
              <w:right w:val="single" w:sz="8" w:color="B2B2B2"/>
            </w:tcBorders>
            <w:shd w:val="clear" w:color="auto" w:fill="B2B2B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2"/>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Return on average equity</w:t>
            </w:r>
          </w:p>
        </w:tc>
        <w:tc>
          <w:tcPr>
            <w:tcW w:w="2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431"/>
        </w:trPr>
        <w:tc>
          <w:tcPr>
            <w:tcW w:w="5100" w:type="dxa"/>
            <w:vAlign w:val="bottom"/>
          </w:tcPr>
          <w:p>
            <w:pPr>
              <w:spacing w:after="0"/>
              <w:rPr>
                <w:sz w:val="24"/>
                <w:szCs w:val="24"/>
                <w:color w:val="auto"/>
              </w:rPr>
            </w:pPr>
          </w:p>
        </w:tc>
        <w:tc>
          <w:tcPr>
            <w:tcW w:w="2240" w:type="dxa"/>
            <w:vAlign w:val="bottom"/>
          </w:tcPr>
          <w:p>
            <w:pPr>
              <w:jc w:val="right"/>
              <w:ind w:right="147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100" w:type="dxa"/>
            <w:vAlign w:val="bottom"/>
            <w:tcBorders>
              <w:bottom w:val="single" w:sz="8" w:color="EEEEEE"/>
            </w:tcBorders>
          </w:tcPr>
          <w:p>
            <w:pPr>
              <w:spacing w:after="0"/>
              <w:rPr>
                <w:sz w:val="18"/>
                <w:szCs w:val="18"/>
                <w:color w:val="auto"/>
              </w:rPr>
            </w:pPr>
          </w:p>
        </w:tc>
        <w:tc>
          <w:tcPr>
            <w:tcW w:w="224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12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First Quarter of</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9"/>
                <w:szCs w:val="19"/>
                <w:color w:val="auto"/>
              </w:rPr>
            </w:pPr>
          </w:p>
        </w:tc>
      </w:tr>
      <w:tr>
        <w:trPr>
          <w:trHeight w:val="215"/>
        </w:trPr>
        <w:tc>
          <w:tcPr>
            <w:tcW w:w="7760" w:type="dxa"/>
            <w:vAlign w:val="bottom"/>
            <w:shd w:val="clear" w:color="auto" w:fill="B2B2B2"/>
          </w:tcPr>
          <w:p>
            <w:pPr>
              <w:ind w:left="40"/>
              <w:spacing w:after="0"/>
              <w:rPr>
                <w:sz w:val="20"/>
                <w:szCs w:val="20"/>
                <w:color w:val="auto"/>
              </w:rPr>
            </w:pPr>
            <w:r>
              <w:rPr>
                <w:rFonts w:ascii="Arial" w:cs="Arial" w:eastAsia="Arial" w:hAnsi="Arial"/>
                <w:sz w:val="18"/>
                <w:szCs w:val="18"/>
                <w:color w:val="auto"/>
              </w:rPr>
              <w:t>Transportation invoice volume</w:t>
            </w:r>
          </w:p>
        </w:tc>
        <w:tc>
          <w:tcPr>
            <w:tcW w:w="2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8,280</w:t>
            </w:r>
          </w:p>
        </w:tc>
        <w:tc>
          <w:tcPr>
            <w:tcW w:w="28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8,948</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5"/>
        </w:trPr>
        <w:tc>
          <w:tcPr>
            <w:tcW w:w="7760" w:type="dxa"/>
            <w:vAlign w:val="bottom"/>
          </w:tcPr>
          <w:p>
            <w:pPr>
              <w:ind w:left="40"/>
              <w:spacing w:after="0"/>
              <w:rPr>
                <w:sz w:val="20"/>
                <w:szCs w:val="20"/>
                <w:color w:val="auto"/>
              </w:rPr>
            </w:pPr>
            <w:r>
              <w:rPr>
                <w:rFonts w:ascii="Arial" w:cs="Arial" w:eastAsia="Arial" w:hAnsi="Arial"/>
                <w:sz w:val="18"/>
                <w:szCs w:val="18"/>
                <w:color w:val="auto"/>
              </w:rPr>
              <w:t>Transportation invoice dollar volume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6,467,051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6,985,773</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5"/>
        </w:trPr>
        <w:tc>
          <w:tcPr>
            <w:tcW w:w="7760" w:type="dxa"/>
            <w:vAlign w:val="bottom"/>
            <w:shd w:val="clear" w:color="auto" w:fill="B2B2B2"/>
          </w:tcPr>
          <w:p>
            <w:pPr>
              <w:ind w:left="40"/>
              <w:spacing w:after="0"/>
              <w:rPr>
                <w:sz w:val="20"/>
                <w:szCs w:val="20"/>
                <w:color w:val="auto"/>
              </w:rPr>
            </w:pPr>
            <w:r>
              <w:rPr>
                <w:rFonts w:ascii="Arial" w:cs="Arial" w:eastAsia="Arial" w:hAnsi="Arial"/>
                <w:sz w:val="18"/>
                <w:szCs w:val="18"/>
                <w:color w:val="auto"/>
              </w:rPr>
              <w:t>Facility expense transaction volume*</w:t>
            </w:r>
          </w:p>
        </w:tc>
        <w:tc>
          <w:tcPr>
            <w:tcW w:w="2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6,509</w:t>
            </w:r>
          </w:p>
        </w:tc>
        <w:tc>
          <w:tcPr>
            <w:tcW w:w="28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6,994</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5"/>
        </w:trPr>
        <w:tc>
          <w:tcPr>
            <w:tcW w:w="7760" w:type="dxa"/>
            <w:vAlign w:val="bottom"/>
          </w:tcPr>
          <w:p>
            <w:pPr>
              <w:ind w:left="40"/>
              <w:spacing w:after="0"/>
              <w:rPr>
                <w:sz w:val="20"/>
                <w:szCs w:val="20"/>
                <w:color w:val="auto"/>
              </w:rPr>
            </w:pPr>
            <w:r>
              <w:rPr>
                <w:rFonts w:ascii="Arial" w:cs="Arial" w:eastAsia="Arial" w:hAnsi="Arial"/>
                <w:sz w:val="18"/>
                <w:szCs w:val="18"/>
                <w:color w:val="auto"/>
              </w:rPr>
              <w:t>Facility expense dollar volume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3,458,646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3,617,428</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9"/>
        </w:trPr>
        <w:tc>
          <w:tcPr>
            <w:tcW w:w="7760" w:type="dxa"/>
            <w:vAlign w:val="bottom"/>
            <w:shd w:val="clear" w:color="auto" w:fill="B2B2B2"/>
          </w:tcPr>
          <w:p>
            <w:pPr>
              <w:ind w:left="40"/>
              <w:spacing w:after="0"/>
              <w:rPr>
                <w:sz w:val="20"/>
                <w:szCs w:val="20"/>
                <w:color w:val="auto"/>
              </w:rPr>
            </w:pPr>
            <w:r>
              <w:rPr>
                <w:rFonts w:ascii="Arial" w:cs="Arial" w:eastAsia="Arial" w:hAnsi="Arial"/>
                <w:sz w:val="18"/>
                <w:szCs w:val="18"/>
                <w:color w:val="auto"/>
              </w:rPr>
              <w:t>Payment and processing revenue</w:t>
            </w:r>
          </w:p>
        </w:tc>
        <w:tc>
          <w:tcPr>
            <w:tcW w:w="2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25,503</w:t>
            </w:r>
          </w:p>
        </w:tc>
        <w:tc>
          <w:tcPr>
            <w:tcW w:w="2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26,457</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energy, telecom and environmental</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2020 compared to First Quarter of 2019:</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Payment and processing fee revenue decreased 4%. Transportation volume for both invoices and dollars declined 7%. With manufacturing companies representing an important component of the transportation customer base, the previously reported contraction in this sector, combined with the recent effects of COVID-19, created year-over-year trials for the division. Facility-related invoice and dollar volume declined 7% and 4%, respectively, with the impact of COVID-19 again largely contributing to these declines.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Gains of $1,069,000 on the sales of securities were recognized in the First Quarter of 2020, compared to $11,000 in gains in the First Quarter of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3"/>
              </w:rPr>
              <w:t>First Quarter of</w:t>
            </w:r>
          </w:p>
        </w:tc>
        <w:tc>
          <w:tcPr>
            <w:tcW w:w="940" w:type="dxa"/>
            <w:vAlign w:val="bottom"/>
            <w:tcBorders>
              <w:bottom w:val="single" w:sz="8" w:color="auto"/>
            </w:tcBorders>
          </w:tcPr>
          <w:p>
            <w:pPr>
              <w:spacing w:after="0"/>
              <w:rPr>
                <w:sz w:val="20"/>
                <w:szCs w:val="20"/>
                <w:color w:val="auto"/>
              </w:rPr>
            </w:pPr>
          </w:p>
        </w:tc>
      </w:tr>
      <w:tr>
        <w:trPr>
          <w:trHeight w:val="197"/>
        </w:trPr>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right"/>
              <w:ind w:right="270"/>
              <w:spacing w:after="0" w:line="197" w:lineRule="exact"/>
              <w:rPr>
                <w:sz w:val="20"/>
                <w:szCs w:val="20"/>
                <w:color w:val="auto"/>
              </w:rPr>
            </w:pPr>
            <w:r>
              <w:rPr>
                <w:rFonts w:ascii="Arial" w:cs="Arial" w:eastAsia="Arial" w:hAnsi="Arial"/>
                <w:sz w:val="18"/>
                <w:szCs w:val="18"/>
                <w:b w:val="1"/>
                <w:bCs w:val="1"/>
                <w:color w:val="auto"/>
              </w:rPr>
              <w:t>%</w:t>
            </w:r>
          </w:p>
        </w:tc>
      </w:tr>
      <w:tr>
        <w:trPr>
          <w:trHeight w:val="241"/>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r>
      <w:tr>
        <w:trPr>
          <w:trHeight w:val="215"/>
        </w:trPr>
        <w:tc>
          <w:tcPr>
            <w:tcW w:w="7340" w:type="dxa"/>
            <w:vAlign w:val="bottom"/>
            <w:shd w:val="clear" w:color="auto" w:fill="B2B2B2"/>
          </w:tcPr>
          <w:p>
            <w:pPr>
              <w:ind w:left="40"/>
              <w:spacing w:after="0"/>
              <w:rPr>
                <w:sz w:val="20"/>
                <w:szCs w:val="20"/>
                <w:color w:val="auto"/>
              </w:rPr>
            </w:pPr>
            <w:r>
              <w:rPr>
                <w:rFonts w:ascii="Arial" w:cs="Arial" w:eastAsia="Arial" w:hAnsi="Arial"/>
                <w:sz w:val="18"/>
                <w:szCs w:val="18"/>
                <w:color w:val="auto"/>
              </w:rPr>
              <w:t>Average earnings assets</w:t>
            </w:r>
          </w:p>
        </w:tc>
        <w:tc>
          <w:tcPr>
            <w:tcW w:w="3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1,487,873</w:t>
            </w:r>
          </w:p>
        </w:tc>
        <w:tc>
          <w:tcPr>
            <w:tcW w:w="3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1,438,613</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3.42%</w:t>
            </w:r>
          </w:p>
        </w:tc>
      </w:tr>
      <w:tr>
        <w:trPr>
          <w:trHeight w:val="215"/>
        </w:trPr>
        <w:tc>
          <w:tcPr>
            <w:tcW w:w="7340" w:type="dxa"/>
            <w:vAlign w:val="bottom"/>
          </w:tcPr>
          <w:p>
            <w:pPr>
              <w:ind w:left="40"/>
              <w:spacing w:after="0"/>
              <w:rPr>
                <w:sz w:val="20"/>
                <w:szCs w:val="20"/>
                <w:color w:val="auto"/>
              </w:rPr>
            </w:pPr>
            <w:r>
              <w:rPr>
                <w:rFonts w:ascii="Arial" w:cs="Arial" w:eastAsia="Arial" w:hAnsi="Arial"/>
                <w:sz w:val="18"/>
                <w:szCs w:val="18"/>
                <w:color w:val="auto"/>
              </w:rPr>
              <w:t>Average interest-bearing liabilities</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409,376</w:t>
            </w:r>
          </w:p>
        </w:tc>
        <w:tc>
          <w:tcPr>
            <w:tcW w:w="3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389,849</w:t>
            </w:r>
          </w:p>
        </w:tc>
        <w:tc>
          <w:tcPr>
            <w:tcW w:w="94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5"/>
        </w:trPr>
        <w:tc>
          <w:tcPr>
            <w:tcW w:w="734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interest income*</w:t>
            </w:r>
          </w:p>
        </w:tc>
        <w:tc>
          <w:tcPr>
            <w:tcW w:w="3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11,857</w:t>
            </w:r>
          </w:p>
        </w:tc>
        <w:tc>
          <w:tcPr>
            <w:tcW w:w="36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12,148</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(2.40)%</w:t>
            </w:r>
          </w:p>
        </w:tc>
      </w:tr>
      <w:tr>
        <w:trPr>
          <w:trHeight w:val="215"/>
        </w:trPr>
        <w:tc>
          <w:tcPr>
            <w:tcW w:w="7340" w:type="dxa"/>
            <w:vAlign w:val="bottom"/>
          </w:tcPr>
          <w:p>
            <w:pPr>
              <w:ind w:left="40"/>
              <w:spacing w:after="0"/>
              <w:rPr>
                <w:sz w:val="20"/>
                <w:szCs w:val="20"/>
                <w:color w:val="auto"/>
              </w:rPr>
            </w:pPr>
            <w:r>
              <w:rPr>
                <w:rFonts w:ascii="Arial" w:cs="Arial" w:eastAsia="Arial" w:hAnsi="Arial"/>
                <w:sz w:val="18"/>
                <w:szCs w:val="18"/>
                <w:color w:val="auto"/>
              </w:rPr>
              <w:t>Net interest margin*</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7340" w:type="dxa"/>
            <w:vAlign w:val="bottom"/>
            <w:shd w:val="clear" w:color="auto" w:fill="B2B2B2"/>
          </w:tcPr>
          <w:p>
            <w:pPr>
              <w:ind w:left="40"/>
              <w:spacing w:after="0"/>
              <w:rPr>
                <w:sz w:val="20"/>
                <w:szCs w:val="20"/>
                <w:color w:val="auto"/>
              </w:rPr>
            </w:pPr>
            <w:r>
              <w:rPr>
                <w:rFonts w:ascii="Arial" w:cs="Arial" w:eastAsia="Arial" w:hAnsi="Arial"/>
                <w:sz w:val="18"/>
                <w:szCs w:val="18"/>
                <w:color w:val="auto"/>
              </w:rPr>
              <w:t>Yield on earning assets*</w:t>
            </w:r>
          </w:p>
        </w:tc>
        <w:tc>
          <w:tcPr>
            <w:tcW w:w="36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3.47%</w:t>
            </w:r>
          </w:p>
        </w:tc>
        <w:tc>
          <w:tcPr>
            <w:tcW w:w="360" w:type="dxa"/>
            <w:vAlign w:val="bottom"/>
            <w:shd w:val="clear" w:color="auto" w:fill="B2B2B2"/>
          </w:tcPr>
          <w:p>
            <w:pPr>
              <w:spacing w:after="0"/>
              <w:rPr>
                <w:sz w:val="18"/>
                <w:szCs w:val="18"/>
                <w:color w:val="auto"/>
              </w:rPr>
            </w:pPr>
          </w:p>
        </w:tc>
        <w:tc>
          <w:tcPr>
            <w:tcW w:w="12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3.79%</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40"/>
              <w:spacing w:after="0"/>
              <w:rPr>
                <w:sz w:val="20"/>
                <w:szCs w:val="20"/>
                <w:color w:val="auto"/>
              </w:rPr>
            </w:pPr>
            <w:r>
              <w:rPr>
                <w:rFonts w:ascii="Arial" w:cs="Arial" w:eastAsia="Arial" w:hAnsi="Arial"/>
                <w:sz w:val="18"/>
                <w:szCs w:val="18"/>
                <w:color w:val="auto"/>
              </w:rPr>
              <w:t>Rate on interest-bearing liabilities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0.95%</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for both 2020 and 2019.</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2020 compared to First Quarter of 2019:</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First Quarter of 2020 average earning assets increased $49,260,000, or 3.4%, compared to the same period in the prior year. Average loans increased $77,976,000, or 10.8%, and federal funds sold and other short-term investments increased $27,736,000, or 20.3%. Average investment securities decreased $44,530,000, or 10.2%, and interest-bearing deposits in other financial institutions decreased $10,427,000, or 7.4%, in the First Quarter of 2020 compared to the First Quarter of 2019.</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average interest-bearing liabilities for the First Quarter of 2020 increased $19,527,000, or 5.0%, compared to the First Quarter of 2019. Average accounts and drafts payable increased $17,924,000, or 2.4%, in the First Quarter of 2020 compared to the First Quarter of 2019.</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First Quarter of 2020 tax-equivalized net interest income decreased $291,000, or 2.4%, compared to the same period in the prior year. This was a result of the decreases in interest rates as the Federal Reserve took action to lower the Federal Funds rate, which was partially offset by the increase in average earning assets. The changes to the interest rate environment also led to a decrease in the rate on interest-bearing liabilities in the First Quarter of 2020 compared to the First Quarter of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First Quarter of 2020</w:t>
            </w: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 of 2019</w:t>
            </w:r>
          </w:p>
        </w:tc>
        <w:tc>
          <w:tcPr>
            <w:tcW w:w="700" w:type="dxa"/>
            <w:vAlign w:val="bottom"/>
            <w:tcBorders>
              <w:bottom w:val="single" w:sz="8" w:color="auto"/>
            </w:tcBorders>
          </w:tcPr>
          <w:p>
            <w:pPr>
              <w:spacing w:after="0"/>
              <w:rPr>
                <w:sz w:val="20"/>
                <w:szCs w:val="20"/>
                <w:color w:val="auto"/>
              </w:rPr>
            </w:pPr>
          </w:p>
        </w:tc>
      </w:tr>
      <w:tr>
        <w:trPr>
          <w:trHeight w:val="197"/>
        </w:trPr>
        <w:tc>
          <w:tcPr>
            <w:tcW w:w="4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Interest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Interest</w:t>
            </w:r>
          </w:p>
        </w:tc>
        <w:tc>
          <w:tcPr>
            <w:tcW w:w="700" w:type="dxa"/>
            <w:vAlign w:val="bottom"/>
          </w:tcPr>
          <w:p>
            <w:pPr>
              <w:spacing w:after="0"/>
              <w:rPr>
                <w:sz w:val="17"/>
                <w:szCs w:val="17"/>
                <w:color w:val="auto"/>
              </w:rPr>
            </w:pPr>
          </w:p>
        </w:tc>
      </w:tr>
      <w:tr>
        <w:trPr>
          <w:trHeight w:val="215"/>
        </w:trPr>
        <w:tc>
          <w:tcPr>
            <w:tcW w:w="4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Yield/</w:t>
            </w:r>
          </w:p>
        </w:tc>
      </w:tr>
      <w:tr>
        <w:trPr>
          <w:trHeight w:val="24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Rate</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Rate</w:t>
            </w:r>
          </w:p>
        </w:tc>
      </w:tr>
      <w:tr>
        <w:trPr>
          <w:trHeight w:val="256"/>
        </w:trPr>
        <w:tc>
          <w:tcPr>
            <w:tcW w:w="4480" w:type="dxa"/>
            <w:vAlign w:val="bottom"/>
            <w:shd w:val="clear" w:color="auto" w:fill="B2B2B2"/>
          </w:tcPr>
          <w:p>
            <w:pPr>
              <w:ind w:left="40"/>
              <w:spacing w:after="0" w:line="25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5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80" w:type="dxa"/>
            <w:vAlign w:val="bottom"/>
          </w:tcPr>
          <w:p>
            <w:pPr>
              <w:ind w:left="40"/>
              <w:spacing w:after="0"/>
              <w:rPr>
                <w:sz w:val="20"/>
                <w:szCs w:val="20"/>
                <w:color w:val="auto"/>
              </w:rPr>
            </w:pPr>
            <w:r>
              <w:rPr>
                <w:rFonts w:ascii="Arial" w:cs="Arial" w:eastAsia="Arial" w:hAnsi="Arial"/>
                <w:sz w:val="18"/>
                <w:szCs w:val="18"/>
                <w:color w:val="auto"/>
              </w:rPr>
              <w:t>Earning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6"/>
        </w:trPr>
        <w:tc>
          <w:tcPr>
            <w:tcW w:w="4480" w:type="dxa"/>
            <w:vAlign w:val="bottom"/>
            <w:shd w:val="clear" w:color="auto" w:fill="B2B2B2"/>
          </w:tcPr>
          <w:p>
            <w:pPr>
              <w:ind w:left="4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5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Taxable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799,502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9,001</w:t>
            </w:r>
          </w:p>
        </w:tc>
        <w:tc>
          <w:tcPr>
            <w:tcW w:w="580" w:type="dxa"/>
            <w:vAlign w:val="bottom"/>
          </w:tcPr>
          <w:p>
            <w:pPr>
              <w:ind w:left="120"/>
              <w:spacing w:after="0"/>
              <w:rPr>
                <w:sz w:val="20"/>
                <w:szCs w:val="20"/>
                <w:color w:val="auto"/>
              </w:rPr>
            </w:pPr>
            <w:r>
              <w:rPr>
                <w:rFonts w:ascii="Arial" w:cs="Arial" w:eastAsia="Arial" w:hAnsi="Arial"/>
                <w:sz w:val="18"/>
                <w:szCs w:val="18"/>
                <w:color w:val="auto"/>
                <w:w w:val="86"/>
              </w:rPr>
              <w:t>4.53%</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721,526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8,629</w:t>
            </w: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56"/>
        </w:trPr>
        <w:tc>
          <w:tcPr>
            <w:tcW w:w="4480" w:type="dxa"/>
            <w:vAlign w:val="bottom"/>
            <w:shd w:val="clear" w:color="auto" w:fill="B2B2B2"/>
          </w:tcPr>
          <w:p>
            <w:pPr>
              <w:ind w:left="4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5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58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Taxable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95,691</w:t>
            </w: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557</w:t>
            </w:r>
          </w:p>
        </w:tc>
        <w:tc>
          <w:tcPr>
            <w:tcW w:w="580" w:type="dxa"/>
            <w:vAlign w:val="bottom"/>
          </w:tcPr>
          <w:p>
            <w:pPr>
              <w:ind w:left="12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106,641</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632</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2.40</w:t>
            </w:r>
          </w:p>
        </w:tc>
      </w:tr>
      <w:tr>
        <w:trPr>
          <w:trHeight w:val="256"/>
        </w:trPr>
        <w:tc>
          <w:tcPr>
            <w:tcW w:w="4480" w:type="dxa"/>
            <w:vAlign w:val="bottom"/>
            <w:shd w:val="clear" w:color="auto" w:fill="B2B2B2"/>
          </w:tcPr>
          <w:p>
            <w:pPr>
              <w:ind w:left="18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5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297,044</w:t>
            </w:r>
          </w:p>
        </w:tc>
        <w:tc>
          <w:tcPr>
            <w:tcW w:w="22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2,303</w:t>
            </w:r>
          </w:p>
        </w:tc>
        <w:tc>
          <w:tcPr>
            <w:tcW w:w="5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B2B2B2"/>
          </w:tcPr>
          <w:p>
            <w:pPr>
              <w:spacing w:after="0"/>
              <w:rPr>
                <w:sz w:val="22"/>
                <w:szCs w:val="22"/>
                <w:color w:val="auto"/>
              </w:rPr>
            </w:pPr>
          </w:p>
        </w:tc>
        <w:tc>
          <w:tcPr>
            <w:tcW w:w="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330,624</w:t>
            </w:r>
          </w:p>
        </w:tc>
        <w:tc>
          <w:tcPr>
            <w:tcW w:w="22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2,578</w:t>
            </w:r>
          </w:p>
        </w:tc>
        <w:tc>
          <w:tcPr>
            <w:tcW w:w="7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3.16</w:t>
            </w:r>
          </w:p>
        </w:tc>
      </w:tr>
      <w:tr>
        <w:trPr>
          <w:trHeight w:val="215"/>
        </w:trPr>
        <w:tc>
          <w:tcPr>
            <w:tcW w:w="448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580" w:type="dxa"/>
            <w:vAlign w:val="bottom"/>
          </w:tcPr>
          <w:p>
            <w:pPr>
              <w:ind w:left="12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2.03</w:t>
            </w:r>
          </w:p>
        </w:tc>
      </w:tr>
      <w:tr>
        <w:trPr>
          <w:trHeight w:val="215"/>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Interest-bearing deposits in other financial institutions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130,611</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382</w:t>
            </w:r>
          </w:p>
        </w:tc>
        <w:tc>
          <w:tcPr>
            <w:tcW w:w="5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141,038</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810</w:t>
            </w:r>
          </w:p>
        </w:tc>
        <w:tc>
          <w:tcPr>
            <w:tcW w:w="7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2.33</w:t>
            </w:r>
          </w:p>
        </w:tc>
      </w:tr>
      <w:tr>
        <w:trPr>
          <w:trHeight w:val="215"/>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Federal funds sold and other short-term investments</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164,525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576</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1.41</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136,789</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779</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2.31</w:t>
            </w:r>
          </w:p>
        </w:tc>
      </w:tr>
      <w:tr>
        <w:trPr>
          <w:trHeight w:val="209"/>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Total earning assets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1,487,873</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12,822</w:t>
            </w:r>
          </w:p>
        </w:tc>
        <w:tc>
          <w:tcPr>
            <w:tcW w:w="5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1,438,613</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13,438</w:t>
            </w:r>
          </w:p>
        </w:tc>
        <w:tc>
          <w:tcPr>
            <w:tcW w:w="7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3.79</w:t>
            </w:r>
          </w:p>
        </w:tc>
      </w:tr>
      <w:tr>
        <w:trPr>
          <w:trHeight w:val="215"/>
        </w:trPr>
        <w:tc>
          <w:tcPr>
            <w:tcW w:w="4480" w:type="dxa"/>
            <w:vAlign w:val="bottom"/>
          </w:tcPr>
          <w:p>
            <w:pPr>
              <w:ind w:left="40"/>
              <w:spacing w:after="0"/>
              <w:rPr>
                <w:sz w:val="20"/>
                <w:szCs w:val="20"/>
                <w:color w:val="auto"/>
              </w:rPr>
            </w:pPr>
            <w:r>
              <w:rPr>
                <w:rFonts w:ascii="Arial" w:cs="Arial" w:eastAsia="Arial" w:hAnsi="Arial"/>
                <w:sz w:val="18"/>
                <w:szCs w:val="18"/>
                <w:color w:val="auto"/>
              </w:rPr>
              <w:t>Non-earning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Cash and due from banks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17,351</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13,816</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20,295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22,015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Bank-owned life insurance</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17,646</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17,429</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18,456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14,080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226,568</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191,474</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Allowance for loan losses</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1,777,627</w:t>
            </w:r>
          </w:p>
        </w:tc>
        <w:tc>
          <w:tcPr>
            <w:tcW w:w="22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1,687,195</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49"/>
        </w:trPr>
        <w:tc>
          <w:tcPr>
            <w:tcW w:w="4480" w:type="dxa"/>
            <w:vAlign w:val="bottom"/>
          </w:tcPr>
          <w:p>
            <w:pPr>
              <w:ind w:left="40"/>
              <w:spacing w:after="0" w:line="249"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8"/>
                <w:szCs w:val="28"/>
                <w:b w:val="1"/>
                <w:bCs w:val="1"/>
                <w:color w:val="auto"/>
                <w:vertAlign w:val="superscript"/>
              </w:rPr>
              <w:t>1</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5"/>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Interest-bearing liabilities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326,852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633</w:t>
            </w:r>
          </w:p>
        </w:tc>
        <w:tc>
          <w:tcPr>
            <w:tcW w:w="580" w:type="dxa"/>
            <w:vAlign w:val="bottom"/>
          </w:tcPr>
          <w:p>
            <w:pPr>
              <w:ind w:left="120"/>
              <w:spacing w:after="0"/>
              <w:rPr>
                <w:sz w:val="20"/>
                <w:szCs w:val="20"/>
                <w:color w:val="auto"/>
              </w:rPr>
            </w:pPr>
            <w:r>
              <w:rPr>
                <w:rFonts w:ascii="Arial" w:cs="Arial" w:eastAsia="Arial" w:hAnsi="Arial"/>
                <w:sz w:val="18"/>
                <w:szCs w:val="18"/>
                <w:color w:val="auto"/>
                <w:w w:val="86"/>
              </w:rPr>
              <w:t>0.78%</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304,890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44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8,403</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0.62</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12,009</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33</w:t>
            </w:r>
          </w:p>
        </w:tc>
        <w:tc>
          <w:tcPr>
            <w:tcW w:w="7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1.11</w:t>
            </w: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Time deposits &gt;= $100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29,820</w:t>
            </w: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580" w:type="dxa"/>
            <w:vAlign w:val="bottom"/>
          </w:tcPr>
          <w:p>
            <w:pPr>
              <w:ind w:left="12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23,221</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1.94</w:t>
            </w:r>
          </w:p>
        </w:tc>
      </w:tr>
      <w:tr>
        <w:trPr>
          <w:trHeight w:val="215"/>
        </w:trPr>
        <w:tc>
          <w:tcPr>
            <w:tcW w:w="448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5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44,092</w:t>
            </w:r>
          </w:p>
        </w:tc>
        <w:tc>
          <w:tcPr>
            <w:tcW w:w="22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175</w:t>
            </w:r>
          </w:p>
        </w:tc>
        <w:tc>
          <w:tcPr>
            <w:tcW w:w="580" w:type="dxa"/>
            <w:vAlign w:val="bottom"/>
            <w:tcBorders>
              <w:bottom w:val="single" w:sz="8" w:color="auto"/>
            </w:tcBorders>
            <w:shd w:val="clear" w:color="auto" w:fill="B2B2B2"/>
          </w:tcPr>
          <w:p>
            <w:pPr>
              <w:ind w:left="120"/>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49,729</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224</w:t>
            </w:r>
          </w:p>
        </w:tc>
        <w:tc>
          <w:tcPr>
            <w:tcW w:w="7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1.83</w:t>
            </w:r>
          </w:p>
        </w:tc>
      </w:tr>
      <w:tr>
        <w:trPr>
          <w:trHeight w:val="209"/>
        </w:trPr>
        <w:tc>
          <w:tcPr>
            <w:tcW w:w="4480" w:type="dxa"/>
            <w:vAlign w:val="bottom"/>
          </w:tcPr>
          <w:p>
            <w:pPr>
              <w:ind w:left="40"/>
              <w:spacing w:after="0"/>
              <w:rPr>
                <w:sz w:val="20"/>
                <w:szCs w:val="20"/>
                <w:color w:val="auto"/>
              </w:rPr>
            </w:pPr>
            <w:r>
              <w:rPr>
                <w:rFonts w:ascii="Arial" w:cs="Arial" w:eastAsia="Arial" w:hAnsi="Arial"/>
                <w:sz w:val="18"/>
                <w:szCs w:val="18"/>
                <w:color w:val="auto"/>
              </w:rPr>
              <w:t>Total interest-bearing deposits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409,167</w:t>
            </w: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963</w:t>
            </w:r>
          </w:p>
        </w:tc>
        <w:tc>
          <w:tcPr>
            <w:tcW w:w="580" w:type="dxa"/>
            <w:vAlign w:val="bottom"/>
          </w:tcPr>
          <w:p>
            <w:pPr>
              <w:ind w:left="120"/>
              <w:spacing w:after="0"/>
              <w:rPr>
                <w:sz w:val="20"/>
                <w:szCs w:val="20"/>
                <w:color w:val="auto"/>
              </w:rPr>
            </w:pPr>
            <w:r>
              <w:rPr>
                <w:rFonts w:ascii="Arial" w:cs="Arial" w:eastAsia="Arial" w:hAnsi="Arial"/>
                <w:sz w:val="18"/>
                <w:szCs w:val="18"/>
                <w:color w:val="auto"/>
              </w:rPr>
              <w:t>0.95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389,849</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15"/>
        </w:trPr>
        <w:tc>
          <w:tcPr>
            <w:tcW w:w="44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Short-term borrowings</w:t>
            </w:r>
          </w:p>
        </w:tc>
        <w:tc>
          <w:tcPr>
            <w:tcW w:w="5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shd w:val="clear" w:color="auto" w:fill="B2B2B2"/>
          </w:tcPr>
          <w:p>
            <w:pPr>
              <w:ind w:left="120"/>
              <w:spacing w:after="0"/>
              <w:rPr>
                <w:sz w:val="20"/>
                <w:szCs w:val="20"/>
                <w:color w:val="auto"/>
              </w:rPr>
            </w:pPr>
            <w:r>
              <w:rPr>
                <w:rFonts w:ascii="Arial" w:cs="Arial" w:eastAsia="Arial" w:hAnsi="Arial"/>
                <w:sz w:val="18"/>
                <w:szCs w:val="18"/>
                <w:color w:val="auto"/>
              </w:rPr>
              <w:t>3.85</w:t>
            </w:r>
          </w:p>
        </w:tc>
        <w:tc>
          <w:tcPr>
            <w:tcW w:w="6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tcPr>
          <w:p>
            <w:pPr>
              <w:ind w:left="180"/>
              <w:spacing w:after="0"/>
              <w:rPr>
                <w:sz w:val="20"/>
                <w:szCs w:val="20"/>
                <w:color w:val="auto"/>
              </w:rPr>
            </w:pPr>
            <w:r>
              <w:rPr>
                <w:rFonts w:ascii="Arial" w:cs="Arial" w:eastAsia="Arial" w:hAnsi="Arial"/>
                <w:sz w:val="18"/>
                <w:szCs w:val="18"/>
                <w:color w:val="auto"/>
              </w:rPr>
              <w:t>Total interest-bearing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409,376</w:t>
            </w: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965</w:t>
            </w:r>
          </w:p>
        </w:tc>
        <w:tc>
          <w:tcPr>
            <w:tcW w:w="580" w:type="dxa"/>
            <w:vAlign w:val="bottom"/>
          </w:tcPr>
          <w:p>
            <w:pPr>
              <w:ind w:left="120"/>
              <w:spacing w:after="0"/>
              <w:rPr>
                <w:sz w:val="20"/>
                <w:szCs w:val="20"/>
                <w:color w:val="auto"/>
              </w:rPr>
            </w:pPr>
            <w:r>
              <w:rPr>
                <w:rFonts w:ascii="Arial" w:cs="Arial" w:eastAsia="Arial" w:hAnsi="Arial"/>
                <w:sz w:val="18"/>
                <w:szCs w:val="18"/>
                <w:color w:val="auto"/>
              </w:rPr>
              <w:t>0.95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389,849</w:t>
            </w:r>
          </w:p>
        </w:tc>
        <w:tc>
          <w:tcPr>
            <w:tcW w:w="2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15"/>
        </w:trPr>
        <w:tc>
          <w:tcPr>
            <w:tcW w:w="44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Non-interest bearing liabilities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295,165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270,169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Accounts and drafts payable</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767,998</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750,074</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62,228</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51,427</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1,534,767</w:t>
            </w: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1,461,519</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5"/>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Shareholders’ equity</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242,860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225,676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44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1,777,627</w:t>
            </w:r>
          </w:p>
        </w:tc>
        <w:tc>
          <w:tcPr>
            <w:tcW w:w="22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6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1,687,195</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09"/>
        </w:trPr>
        <w:tc>
          <w:tcPr>
            <w:tcW w:w="4480" w:type="dxa"/>
            <w:vAlign w:val="bottom"/>
          </w:tcPr>
          <w:p>
            <w:pPr>
              <w:ind w:left="40"/>
              <w:spacing w:after="0"/>
              <w:rPr>
                <w:sz w:val="20"/>
                <w:szCs w:val="20"/>
                <w:color w:val="auto"/>
              </w:rPr>
            </w:pPr>
            <w:r>
              <w:rPr>
                <w:rFonts w:ascii="Arial" w:cs="Arial" w:eastAsia="Arial" w:hAnsi="Arial"/>
                <w:sz w:val="18"/>
                <w:szCs w:val="18"/>
                <w:color w:val="auto"/>
              </w:rPr>
              <w:t>Net interest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11,857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12,148</w:t>
            </w:r>
          </w:p>
        </w:tc>
        <w:tc>
          <w:tcPr>
            <w:tcW w:w="700" w:type="dxa"/>
            <w:vAlign w:val="bottom"/>
          </w:tcPr>
          <w:p>
            <w:pPr>
              <w:spacing w:after="0"/>
              <w:rPr>
                <w:sz w:val="18"/>
                <w:szCs w:val="18"/>
                <w:color w:val="auto"/>
              </w:rPr>
            </w:pPr>
          </w:p>
        </w:tc>
      </w:tr>
      <w:tr>
        <w:trPr>
          <w:trHeight w:val="215"/>
        </w:trPr>
        <w:tc>
          <w:tcPr>
            <w:tcW w:w="448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interest margin</w:t>
            </w:r>
          </w:p>
        </w:tc>
        <w:tc>
          <w:tcPr>
            <w:tcW w:w="5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580" w:type="dxa"/>
            <w:vAlign w:val="bottom"/>
            <w:shd w:val="clear" w:color="auto" w:fill="B2B2B2"/>
          </w:tcPr>
          <w:p>
            <w:pPr>
              <w:ind w:left="120"/>
              <w:spacing w:after="0"/>
              <w:rPr>
                <w:sz w:val="20"/>
                <w:szCs w:val="20"/>
                <w:color w:val="auto"/>
              </w:rPr>
            </w:pPr>
            <w:r>
              <w:rPr>
                <w:rFonts w:ascii="Arial" w:cs="Arial" w:eastAsia="Arial" w:hAnsi="Arial"/>
                <w:sz w:val="18"/>
                <w:szCs w:val="18"/>
                <w:color w:val="auto"/>
                <w:w w:val="86"/>
              </w:rPr>
              <w:t>3.21%</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Interest spread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29" w:lineRule="auto"/>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20" w:hanging="212"/>
        <w:spacing w:after="0" w:line="220" w:lineRule="auto"/>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$156,000 and $165,000 for the First Quarter of 2020 and 2019, respectively.</w:t>
      </w:r>
    </w:p>
    <w:p>
      <w:pPr>
        <w:ind w:left="220" w:hanging="212"/>
        <w:spacing w:after="0" w:line="220" w:lineRule="auto"/>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The tax-equivalent adjustment was approximately $484,000 and $541,000 for the First Quarter of 2020 and 2019,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2"/>
              </w:rPr>
              <w:t>First Quarter of 2020 Over</w:t>
            </w:r>
          </w:p>
        </w:tc>
        <w:tc>
          <w:tcPr>
            <w:tcW w:w="980" w:type="dxa"/>
            <w:vAlign w:val="bottom"/>
          </w:tcPr>
          <w:p>
            <w:pPr>
              <w:spacing w:after="0"/>
              <w:rPr>
                <w:sz w:val="18"/>
                <w:szCs w:val="18"/>
                <w:color w:val="auto"/>
              </w:rPr>
            </w:pPr>
          </w:p>
        </w:tc>
      </w:tr>
      <w:tr>
        <w:trPr>
          <w:trHeight w:val="241"/>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93"/>
              </w:rPr>
              <w:t>First Quarter of 2019</w:t>
            </w:r>
          </w:p>
        </w:tc>
        <w:tc>
          <w:tcPr>
            <w:tcW w:w="980" w:type="dxa"/>
            <w:vAlign w:val="bottom"/>
            <w:tcBorders>
              <w:bottom w:val="single" w:sz="8" w:color="auto"/>
            </w:tcBorders>
          </w:tcPr>
          <w:p>
            <w:pPr>
              <w:spacing w:after="0"/>
              <w:rPr>
                <w:sz w:val="20"/>
                <w:szCs w:val="20"/>
                <w:color w:val="auto"/>
              </w:rPr>
            </w:pPr>
          </w:p>
        </w:tc>
      </w:tr>
      <w:tr>
        <w:trPr>
          <w:trHeight w:val="22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Volume</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5"/>
        </w:trPr>
        <w:tc>
          <w:tcPr>
            <w:tcW w:w="552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Increase (decrease) in interest income:</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56"/>
        </w:trPr>
        <w:tc>
          <w:tcPr>
            <w:tcW w:w="552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5"/>
        </w:trPr>
        <w:tc>
          <w:tcPr>
            <w:tcW w:w="55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70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948</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(576)</w:t>
            </w:r>
          </w:p>
        </w:tc>
        <w:tc>
          <w:tcPr>
            <w:tcW w:w="44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372</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520" w:type="dxa"/>
            <w:vAlign w:val="bottom"/>
            <w:shd w:val="clear" w:color="auto" w:fill="B2B2B2"/>
          </w:tcPr>
          <w:p>
            <w:pPr>
              <w:ind w:left="40"/>
              <w:spacing w:after="0"/>
              <w:rPr>
                <w:sz w:val="20"/>
                <w:szCs w:val="20"/>
                <w:color w:val="auto"/>
              </w:rPr>
            </w:pPr>
            <w:r>
              <w:rPr>
                <w:rFonts w:ascii="Arial" w:cs="Arial" w:eastAsia="Arial" w:hAnsi="Arial"/>
                <w:sz w:val="18"/>
                <w:szCs w:val="18"/>
                <w:color w:val="auto"/>
              </w:rPr>
              <w:t>Taxable</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w:t>
            </w:r>
          </w:p>
        </w:tc>
      </w:tr>
      <w:tr>
        <w:trPr>
          <w:trHeight w:val="256"/>
        </w:trPr>
        <w:tc>
          <w:tcPr>
            <w:tcW w:w="552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1460" w:type="dxa"/>
            <w:vAlign w:val="bottom"/>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w:t>
            </w:r>
          </w:p>
        </w:tc>
      </w:tr>
      <w:tr>
        <w:trPr>
          <w:trHeight w:val="209"/>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interest income</w:t>
            </w:r>
          </w:p>
        </w:tc>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09"/>
        </w:trPr>
        <w:tc>
          <w:tcPr>
            <w:tcW w:w="5520" w:type="dxa"/>
            <w:vAlign w:val="bottom"/>
            <w:shd w:val="clear" w:color="auto" w:fill="B2B2B2"/>
          </w:tcPr>
          <w:p>
            <w:pPr>
              <w:ind w:left="40"/>
              <w:spacing w:after="0"/>
              <w:rPr>
                <w:sz w:val="20"/>
                <w:szCs w:val="20"/>
                <w:color w:val="auto"/>
              </w:rPr>
            </w:pPr>
            <w:r>
              <w:rPr>
                <w:rFonts w:ascii="Arial" w:cs="Arial" w:eastAsia="Arial" w:hAnsi="Arial"/>
                <w:sz w:val="18"/>
                <w:szCs w:val="18"/>
                <w:color w:val="auto"/>
              </w:rPr>
              <w:t>Interest expense on:</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w:t>
            </w:r>
          </w:p>
        </w:tc>
      </w:tr>
      <w:tr>
        <w:trPr>
          <w:trHeight w:val="215"/>
        </w:trPr>
        <w:tc>
          <w:tcPr>
            <w:tcW w:w="5520" w:type="dxa"/>
            <w:vAlign w:val="bottom"/>
          </w:tcPr>
          <w:p>
            <w:pPr>
              <w:ind w:left="180"/>
              <w:spacing w:after="0"/>
              <w:rPr>
                <w:sz w:val="20"/>
                <w:szCs w:val="20"/>
                <w:color w:val="auto"/>
              </w:rPr>
            </w:pPr>
            <w:r>
              <w:rPr>
                <w:rFonts w:ascii="Arial" w:cs="Arial" w:eastAsia="Arial" w:hAnsi="Arial"/>
                <w:sz w:val="18"/>
                <w:szCs w:val="18"/>
                <w:color w:val="auto"/>
              </w:rPr>
              <w:t>Time deposits of &gt;=$100</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5"/>
        </w:trPr>
        <w:tc>
          <w:tcPr>
            <w:tcW w:w="55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14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5520" w:type="dxa"/>
            <w:vAlign w:val="bottom"/>
            <w:tcBorders>
              <w:bottom w:val="single" w:sz="8" w:color="B2B2B2"/>
            </w:tcBorders>
          </w:tcPr>
          <w:p>
            <w:pPr>
              <w:ind w:left="180"/>
              <w:spacing w:after="0"/>
              <w:rPr>
                <w:sz w:val="20"/>
                <w:szCs w:val="20"/>
                <w:color w:val="auto"/>
              </w:rPr>
            </w:pPr>
            <w:r>
              <w:rPr>
                <w:rFonts w:ascii="Arial" w:cs="Arial" w:eastAsia="Arial" w:hAnsi="Arial"/>
                <w:sz w:val="18"/>
                <w:szCs w:val="18"/>
                <w:color w:val="auto"/>
              </w:rPr>
              <w:t>Short-term borrowings</w:t>
            </w:r>
          </w:p>
        </w:tc>
        <w:tc>
          <w:tcPr>
            <w:tcW w:w="1460" w:type="dxa"/>
            <w:vAlign w:val="bottom"/>
            <w:tcBorders>
              <w:bottom w:val="single" w:sz="8" w:color="B2B2B2"/>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09"/>
        </w:trPr>
        <w:tc>
          <w:tcPr>
            <w:tcW w:w="552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 interest expense</w:t>
            </w:r>
          </w:p>
        </w:tc>
        <w:tc>
          <w:tcPr>
            <w:tcW w:w="14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(393)</w:t>
            </w:r>
          </w:p>
        </w:tc>
        <w:tc>
          <w:tcPr>
            <w:tcW w:w="4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5520" w:type="dxa"/>
            <w:vAlign w:val="bottom"/>
          </w:tcPr>
          <w:p>
            <w:pPr>
              <w:ind w:left="40"/>
              <w:spacing w:after="0"/>
              <w:rPr>
                <w:sz w:val="20"/>
                <w:szCs w:val="20"/>
                <w:color w:val="auto"/>
              </w:rPr>
            </w:pPr>
            <w:r>
              <w:rPr>
                <w:rFonts w:ascii="Arial" w:cs="Arial" w:eastAsia="Arial" w:hAnsi="Arial"/>
                <w:sz w:val="18"/>
                <w:szCs w:val="18"/>
                <w:color w:val="auto"/>
              </w:rPr>
              <w:t>Net interest income</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29" w:lineRule="auto"/>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a loan loss provision of $325,000 recorded in the First Quarter of 2020 to support the growth in the loan portfolio and changes in economic and environmental conditions while a loan loss provision of $250,000 was recorded in the First Quarter of 2019. As discussed below, the Company continually analyzes the outstanding loan portfolio based on the performance, financial condition and collateralization of the credits. Net loan recoveries during the First Quarter of 2020 were $8,000, and net loan recoveries during the First Quarter of 2019 were $11,000.</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ALLL at March 31, 2020 was $10,889,000 and at December 31, 2019 was $10,556,000. The ratio of ALLL to total loans outstanding at March 31, 2019 was 1.27% compared to 1.37% at December 31, 2019. There were no nonperforming loans at March 31, 2020 or December 31, 2019.</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xml:space="preserve">, and 2) estimated credit losses inherent in the remainder of the loan portfolio in accordance with FASB ASC 450, </w:t>
      </w:r>
      <w:r>
        <w:rPr>
          <w:rFonts w:ascii="Arial" w:cs="Arial" w:eastAsia="Arial" w:hAnsi="Arial"/>
          <w:sz w:val="18"/>
          <w:szCs w:val="18"/>
          <w:i w:val="1"/>
          <w:iCs w:val="1"/>
          <w:color w:val="auto"/>
        </w:rPr>
        <w:t>Contingencies</w:t>
      </w:r>
      <w:r>
        <w:rPr>
          <w:rFonts w:ascii="Arial" w:cs="Arial" w:eastAsia="Arial" w:hAnsi="Arial"/>
          <w:sz w:val="18"/>
          <w:szCs w:val="18"/>
          <w:color w:val="auto"/>
        </w:rPr>
        <w:t>. Estimated credit losses are an estimate of the current amount of loans that is probable the Company will be unable to collect according to the original terms.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w:t>
      </w:r>
    </w:p>
    <w:p>
      <w:pPr>
        <w:spacing w:after="0" w:line="46" w:lineRule="exact"/>
        <w:rPr>
          <w:sz w:val="20"/>
          <w:szCs w:val="20"/>
          <w:color w:val="auto"/>
        </w:rPr>
      </w:pPr>
    </w:p>
    <w:p>
      <w:pPr>
        <w:jc w:val="both"/>
        <w:ind w:firstLine="8"/>
        <w:spacing w:after="0" w:line="272" w:lineRule="auto"/>
        <w:tabs>
          <w:tab w:leader="none" w:pos="199"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4" w:name="page25"/>
    <w:bookmarkEnd w:id="24"/>
    <w:p>
      <w:pPr>
        <w:jc w:val="both"/>
        <w:spacing w:after="0" w:line="285" w:lineRule="auto"/>
        <w:rPr>
          <w:sz w:val="20"/>
          <w:szCs w:val="20"/>
          <w:color w:val="auto"/>
        </w:rPr>
      </w:pPr>
      <w:r>
        <w:rPr>
          <w:rFonts w:ascii="Arial" w:cs="Arial" w:eastAsia="Arial" w:hAnsi="Arial"/>
          <w:sz w:val="17"/>
          <w:szCs w:val="17"/>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First Quarter of</w:t>
            </w:r>
          </w:p>
        </w:tc>
      </w:tr>
      <w:tr>
        <w:trPr>
          <w:trHeight w:val="22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15"/>
        </w:trPr>
        <w:tc>
          <w:tcPr>
            <w:tcW w:w="6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Allowance at beginning of period</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10,556</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10,225</w:t>
            </w:r>
          </w:p>
        </w:tc>
      </w:tr>
      <w:tr>
        <w:trPr>
          <w:trHeight w:val="215"/>
        </w:trPr>
        <w:tc>
          <w:tcPr>
            <w:tcW w:w="6900" w:type="dxa"/>
            <w:vAlign w:val="bottom"/>
          </w:tcPr>
          <w:p>
            <w:pPr>
              <w:ind w:left="40"/>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Loans charged off</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Recoveries on loans previously charged off</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r>
      <w:tr>
        <w:trPr>
          <w:trHeight w:val="209"/>
        </w:trPr>
        <w:tc>
          <w:tcPr>
            <w:tcW w:w="6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Net recoveries</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11</w:t>
            </w:r>
          </w:p>
        </w:tc>
      </w:tr>
      <w:tr>
        <w:trPr>
          <w:trHeight w:val="215"/>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Allowance at end of period</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10,889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10,486</w:t>
            </w:r>
          </w:p>
        </w:tc>
      </w:tr>
      <w:tr>
        <w:trPr>
          <w:trHeight w:val="209"/>
        </w:trPr>
        <w:tc>
          <w:tcPr>
            <w:tcW w:w="6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Loans outstanding:</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8"/>
                <w:szCs w:val="18"/>
                <w:color w:val="auto"/>
              </w:rPr>
              <w:t>Average</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799,502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721,526</w:t>
            </w: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March 31</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854,780</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751,309</w:t>
            </w:r>
          </w:p>
        </w:tc>
      </w:tr>
      <w:tr>
        <w:trPr>
          <w:trHeight w:val="215"/>
        </w:trPr>
        <w:tc>
          <w:tcPr>
            <w:tcW w:w="6900" w:type="dxa"/>
            <w:vAlign w:val="bottom"/>
          </w:tcPr>
          <w:p>
            <w:pPr>
              <w:ind w:left="40"/>
              <w:spacing w:after="0"/>
              <w:rPr>
                <w:sz w:val="20"/>
                <w:szCs w:val="20"/>
                <w:color w:val="auto"/>
              </w:rPr>
            </w:pPr>
            <w:r>
              <w:rPr>
                <w:rFonts w:ascii="Arial" w:cs="Arial" w:eastAsia="Arial" w:hAnsi="Arial"/>
                <w:sz w:val="18"/>
                <w:szCs w:val="18"/>
                <w:color w:val="auto"/>
              </w:rPr>
              <w:t>Ratio of ALLL to loans outstanding:</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Average</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1.45%</w:t>
            </w:r>
          </w:p>
        </w:tc>
      </w:tr>
      <w:tr>
        <w:trPr>
          <w:trHeight w:val="215"/>
        </w:trPr>
        <w:tc>
          <w:tcPr>
            <w:tcW w:w="6900" w:type="dxa"/>
            <w:vAlign w:val="bottom"/>
          </w:tcPr>
          <w:p>
            <w:pPr>
              <w:ind w:left="18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1.40</w:t>
            </w:r>
          </w:p>
        </w:tc>
      </w:tr>
      <w:tr>
        <w:trPr>
          <w:trHeight w:val="215"/>
        </w:trPr>
        <w:tc>
          <w:tcPr>
            <w:tcW w:w="6900" w:type="dxa"/>
            <w:vAlign w:val="bottom"/>
            <w:shd w:val="clear" w:color="auto" w:fill="B2B2B2"/>
          </w:tcPr>
          <w:p>
            <w:pPr>
              <w:ind w:left="40"/>
              <w:spacing w:after="0"/>
              <w:rPr>
                <w:sz w:val="20"/>
                <w:szCs w:val="20"/>
                <w:color w:val="auto"/>
              </w:rPr>
            </w:pPr>
            <w:r>
              <w:rPr>
                <w:rFonts w:ascii="Arial" w:cs="Arial" w:eastAsia="Arial" w:hAnsi="Arial"/>
                <w:sz w:val="18"/>
                <w:szCs w:val="18"/>
                <w:color w:val="auto"/>
              </w:rPr>
              <w:t>Impaired loans:</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Loans past due 90 days or more</w:t>
            </w:r>
          </w:p>
        </w:tc>
        <w:tc>
          <w:tcPr>
            <w:tcW w:w="3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Troubled debt restructurings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69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Total impaired loans</w:t>
            </w:r>
          </w:p>
        </w:tc>
        <w:tc>
          <w:tcPr>
            <w:tcW w:w="3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Foreclosed assets</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Impaired loans as percentage of average loans</w:t>
            </w:r>
          </w:p>
        </w:tc>
        <w:tc>
          <w:tcPr>
            <w:tcW w:w="3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March 31, 2020 and March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5"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Total operating expenses for the First Quarter of 2020 were up 1.6%, or $467,000, compared to the First Quarter of 2019 due to on-going strategic investment in the technology and staff required to win and support new business and additional costs incurred in response to the impacts of COVID-19.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assets at March 31, 2020 were $1,731,982,000, a decrease of $32,261,000, or 1.8%, from December 31, 2019. The most significant changes in asset balances during this period were decreases in cash and cash equivalents of $40,760,000, other assets of $40,452,000, and securities of $34,671,000. These decreases were partially offset by an increase in loans of $82,142,000. Changes in cash and cash equivalents reflect the Company’s daily liquidity position and are affected by the changes in the other asset balances and changes in deposit and accounts and drafts payable balances.</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liabilities at March 31, 2020 were $1,490,699,000 a decrease of $29,354,000, or 1.9%, from December 31, 2019. Total deposits at March 31, 2020 were $726,607,000, a decrease of $30,529,000, or 4.0%, from December 31, 2019. The decrease in deposits was a result of daily fluctuations in the B2B payment platform. Accounts and drafts payable at March 31, 2020 were $702,069,000, an increase of $17,774,000, or 2.6%, from December 31, 2019.</w:t>
      </w:r>
    </w:p>
    <w:p>
      <w:pPr>
        <w:spacing w:after="0" w:line="12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Total shareholders’ equity at March 31, 2020 was $241,283,000, a $2,907,000, or 1.2%, decrease from December 31, 2019. Total shareholders’ equity decreased as a result of share repurchases of $5,508,000 and dividends paid of $3,918,000. These were partially offset by net income of $7,545,000.</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balance of liquid assets consisting of cash and cash equivalents, which include cash and due from banks, interest-bearing deposits in other financial institutions, federal funds sold and money market funds, and was $163,194,000 at March 31, 2020, a decrease of $40,760,000, or 20.0%, from December 31, 2019. At March 31, 2020, these assets represented 9.4% of total assets. These funds are the Company’s and its subsidiaries’ primary source of liquidity to meet future expected and unexpected loan demand, depositor withdrawals or reductions in accounts and drafts payable.</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$387,994,000 at March 31, 2020, a decrease of $34,671,000 from December 31, 2019. These assets represented 22.4% of total assets at March 31, 2020. Of this total, 77% were state and political subdivision securities. Of the total portfolio, 16.1% mature in one year, 21.2% mature in one to five years, and 62.7% mature in five or more years</w:t>
      </w:r>
      <w:r>
        <w:rPr>
          <w:rFonts w:ascii="Arial" w:cs="Arial" w:eastAsia="Arial" w:hAnsi="Arial"/>
          <w:sz w:val="16"/>
          <w:szCs w:val="16"/>
          <w:i w:val="1"/>
          <w:iCs w:val="1"/>
          <w:color w:val="auto"/>
        </w:rPr>
        <w:t>.</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$192,045,000 collateralized by commercial mortgage loans. The Company also has secured lines of credit with UMB Bank of $50,000,000 and First Horizon Bank of $50,000,000 collateralized by state and political subdivision securities. Effective April 30 2020, the First Horizon Bank line of credit was increased to $75,000,000. There were no amounts outstanding under any line of credit as of March 31, 2020. There was $18,000,000 outstanding under the lines of credit discussed above at December 31, 2019. The amount outstanding at the end of the 2019 was borrowed on December 31,2019 and repaid on January 2, 2020.</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approximately $180,000,000 as of April 30, 2020.</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$43,471,000 of CDARS deposits and interest-bearing demand deposits include $94,555,000 of ICS deposits. These programs offer the Bank’s customers the ability to maximize Federal Deposit Insurance Corporation (“FDIC”) insurance coverage. The Company uses these programs to retain or attract deposits from existing customers.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flows provided by operating activities were $18,160,000 for the three months ended March 31, 2020, compared to $16,435,000 for the three months ended March 31, 2019, an increase of $1,725,000.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2020, which are estimated to range from $4 million to $6 million.</w:t>
      </w:r>
    </w:p>
    <w:p>
      <w:pPr>
        <w:spacing w:after="0" w:line="135"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further discussion on COVID-19, refer to Note 1 “Basis of Presentation.”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further discussion on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further discussion on COVID-19, refer to Note 1 “Basis of Presentation.”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Fully phased-in as of January 1, 2019, the Basel III Capital Rules require banking organizations, like Cass, to maintain:</w:t>
      </w:r>
    </w:p>
    <w:p>
      <w:pPr>
        <w:spacing w:after="0" w:line="32" w:lineRule="exact"/>
        <w:rPr>
          <w:sz w:val="20"/>
          <w:szCs w:val="20"/>
          <w:color w:val="auto"/>
        </w:rPr>
      </w:pPr>
    </w:p>
    <w:p>
      <w:pPr>
        <w:ind w:left="560" w:hanging="229"/>
        <w:spacing w:after="0"/>
        <w:tabs>
          <w:tab w:leader="none" w:pos="560" w:val="left"/>
        </w:tabs>
        <w:numPr>
          <w:ilvl w:val="0"/>
          <w:numId w:val="13"/>
        </w:numPr>
        <w:rPr>
          <w:rFonts w:ascii="Arial" w:cs="Arial" w:eastAsia="Arial" w:hAnsi="Arial"/>
          <w:sz w:val="32"/>
          <w:szCs w:val="32"/>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55" w:lineRule="exact"/>
        <w:rPr>
          <w:rFonts w:ascii="Arial" w:cs="Arial" w:eastAsia="Arial" w:hAnsi="Arial"/>
          <w:sz w:val="32"/>
          <w:szCs w:val="32"/>
          <w:color w:val="auto"/>
        </w:rPr>
      </w:pPr>
    </w:p>
    <w:p>
      <w:pPr>
        <w:ind w:left="560" w:hanging="229"/>
        <w:spacing w:after="0" w:line="186" w:lineRule="auto"/>
        <w:tabs>
          <w:tab w:leader="none" w:pos="560" w:val="left"/>
        </w:tabs>
        <w:numPr>
          <w:ilvl w:val="0"/>
          <w:numId w:val="13"/>
        </w:numPr>
        <w:rPr>
          <w:rFonts w:ascii="Arial" w:cs="Arial" w:eastAsia="Arial" w:hAnsi="Arial"/>
          <w:sz w:val="24"/>
          <w:szCs w:val="24"/>
          <w:color w:val="auto"/>
        </w:rPr>
      </w:pPr>
      <w:r>
        <w:rPr>
          <w:rFonts w:ascii="Arial" w:cs="Arial" w:eastAsia="Arial" w:hAnsi="Arial"/>
          <w:sz w:val="15"/>
          <w:szCs w:val="15"/>
          <w:color w:val="auto"/>
        </w:rPr>
        <w:t>a minimum ratio of Tier 1 capital to risk-weighted assets of at least 6.0%, plus a 2.5% capital conservation buffer;</w:t>
      </w:r>
    </w:p>
    <w:p>
      <w:pPr>
        <w:spacing w:after="0" w:line="68" w:lineRule="exact"/>
        <w:rPr>
          <w:rFonts w:ascii="Arial" w:cs="Arial" w:eastAsia="Arial" w:hAnsi="Arial"/>
          <w:sz w:val="24"/>
          <w:szCs w:val="24"/>
          <w:color w:val="auto"/>
        </w:rPr>
      </w:pPr>
    </w:p>
    <w:p>
      <w:pPr>
        <w:ind w:left="560" w:hanging="229"/>
        <w:spacing w:after="0" w:line="182" w:lineRule="auto"/>
        <w:tabs>
          <w:tab w:leader="none" w:pos="560" w:val="left"/>
        </w:tabs>
        <w:numPr>
          <w:ilvl w:val="0"/>
          <w:numId w:val="13"/>
        </w:numPr>
        <w:rPr>
          <w:rFonts w:ascii="Arial" w:cs="Arial" w:eastAsia="Arial" w:hAnsi="Arial"/>
          <w:sz w:val="31"/>
          <w:szCs w:val="31"/>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spacing w:after="0" w:line="2" w:lineRule="exact"/>
        <w:rPr>
          <w:rFonts w:ascii="Arial" w:cs="Arial" w:eastAsia="Arial" w:hAnsi="Arial"/>
          <w:sz w:val="31"/>
          <w:szCs w:val="31"/>
          <w:color w:val="auto"/>
        </w:rPr>
      </w:pPr>
    </w:p>
    <w:p>
      <w:pPr>
        <w:ind w:left="560" w:hanging="229"/>
        <w:spacing w:after="0" w:line="181" w:lineRule="auto"/>
        <w:tabs>
          <w:tab w:leader="none" w:pos="560" w:val="left"/>
        </w:tabs>
        <w:numPr>
          <w:ilvl w:val="0"/>
          <w:numId w:val="13"/>
        </w:numPr>
        <w:rPr>
          <w:rFonts w:ascii="Arial" w:cs="Arial" w:eastAsia="Arial" w:hAnsi="Arial"/>
          <w:sz w:val="31"/>
          <w:szCs w:val="31"/>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19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 2019</w:t>
            </w:r>
          </w:p>
        </w:tc>
      </w:tr>
      <w:tr>
        <w:trPr>
          <w:trHeight w:val="222"/>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19"/>
                <w:szCs w:val="19"/>
                <w:color w:val="auto"/>
              </w:rPr>
            </w:pPr>
          </w:p>
        </w:tc>
      </w:tr>
      <w:tr>
        <w:trPr>
          <w:trHeight w:val="215"/>
        </w:trPr>
        <w:tc>
          <w:tcPr>
            <w:tcW w:w="6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247,970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249,954</w:t>
            </w:r>
          </w:p>
        </w:tc>
        <w:tc>
          <w:tcPr>
            <w:tcW w:w="900" w:type="dxa"/>
            <w:vAlign w:val="bottom"/>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158,044</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154,011</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8"/>
                <w:szCs w:val="18"/>
                <w:color w:val="auto"/>
              </w:rPr>
              <w:t>Common equity tier I capital (to risk-weighted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237,081</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149,373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40"/>
              <w:spacing w:after="0"/>
              <w:rPr>
                <w:sz w:val="20"/>
                <w:szCs w:val="20"/>
                <w:color w:val="auto"/>
              </w:rPr>
            </w:pPr>
            <w:r>
              <w:rPr>
                <w:rFonts w:ascii="Arial" w:cs="Arial" w:eastAsia="Arial" w:hAnsi="Arial"/>
                <w:sz w:val="18"/>
                <w:szCs w:val="18"/>
                <w:color w:val="auto"/>
              </w:rPr>
              <w:t>Tier I capital (to risk-weighted assets)</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237,081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149,373</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8"/>
                <w:szCs w:val="18"/>
                <w:color w:val="auto"/>
              </w:rPr>
              <w:t>Tier I capital (to leverage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237,081</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r>
      <w:tr>
        <w:trPr>
          <w:trHeight w:val="222"/>
        </w:trPr>
        <w:tc>
          <w:tcPr>
            <w:tcW w:w="6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Cass Commercial Bank</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149,373</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17.02%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Borders>
              <w:bottom w:val="single" w:sz="8" w:color="auto"/>
            </w:tcBorders>
          </w:tcPr>
          <w:p>
            <w:pPr>
              <w:spacing w:after="0"/>
              <w:rPr>
                <w:sz w:val="19"/>
                <w:szCs w:val="19"/>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ASU requires measurement and recognition of expected credit losses for financial assets held, which include allowances</w:t>
      </w:r>
      <w:r>
        <w:rPr>
          <w:rFonts w:ascii="Arial" w:cs="Arial" w:eastAsia="Arial" w:hAnsi="Arial"/>
          <w:sz w:val="18"/>
          <w:szCs w:val="18"/>
          <w:i w:val="1"/>
          <w:iCs w:val="1"/>
          <w:color w:val="auto"/>
        </w:rPr>
        <w:t xml:space="preserve"> </w:t>
      </w:r>
      <w:r>
        <w:rPr>
          <w:rFonts w:ascii="Arial" w:cs="Arial" w:eastAsia="Arial" w:hAnsi="Arial"/>
          <w:sz w:val="18"/>
          <w:szCs w:val="18"/>
          <w:color w:val="auto"/>
        </w:rPr>
        <w:t>for losses expected to be incurred over the life of the portfolio, rather than incurred losses, which include allowances for current known and inherent losses within the portfolio. Under this standard, the Company will be required to hold an allowance equal to the expected life-of-loan losses on the loan portfolio. The standard is effective for fiscal periods beginning after December 15, 2019 and was adopted on January 1, 2020. The CARES Act was signed into law on March 27, 2020 and includes provisions that temporarily delay the required implementation date of ASU 2016-13. The Company has elected to defer the adoption of ASU 2016-13 until the earlier of December 31, 2020 or the date the national emergency declaration is terminated as permitted by the CARES Act.</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formed a cross-functional working group under the direction of the Chief Financial Officer comprised of individuals from various functional areas including credit, risk management, finance, and accounting that addressed the adoption and implementation of the ASU. The Company currently expects the adoption of ASU 2016-13 will result in a one-time cumulative effect adjustment to retained earnings and an increase of up to 25% of the allowance for loan losses and the reserves for unfunded commitments. The expected increase is a result of changing from an incurred loss model, which encompasses allowances for current known and inherent losses within the portfolio, to an expected loss model, which encompasses allowances for losses expected to be incurred over the life of the portfolio based upon reasonable and supportable forecasts of economic conditions. The ASU also requires an allowance to be established for expected credit losses for certain debt securities and other financial assets, however the Company does not expect these allowances to be significant.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the Company’s Annual Report on Form 10-K for the year ended December 31, 2019,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The economic impact of the COVID-19 pandemic has introduced significant uncertainty and market volatility, which may result in the deterioration of the Company’s risk position since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First Quarter of 2020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has included in Part I, Item 1A of its Annual Report on Form 10-K for the year ended December 31, 2019, a description of certain risks and uncertainties that could affect the Company’s business, future performance or financial condition (the “Risk Factors”). There are no material changes to the Risk Factors as disclosed in the Company’s 2019 Annual Report on Form 10-K, other than the risks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creates significant risks and uncertainties for the Company’s business and results of operations.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World Health Organization declared COVID-19 as a global pandemic. The COVID-19 pandemic has negatively impacted the global economy, disrupted global supply chains and manufacturing, lowered energy prices,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including those in major markets in which Cass Commercial Bank, the Company’s St. Louis, Missouri-based bank subsidiary, is located or does business.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the demand for the Company’s products and services has been, and will continue to be, significantly impacted. Demand for payment and information processing services by manufacturing, distribution, and retail enterprises, and loans and other products and services that the Company and the Bank offer and on which success the Company relies to drive growth, is highly dependent upon the business environment in the primary markets in which the Company operates and in the United States as a whole.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Business closures, including constrictions in the manufacturing sector, have decreased volumes in the Company’s payment and information processing services due to the decline in customers’ business activity. In addition, the dampened demand for oil and resulting plummet in oil prices has had, and can continue to have, a negative effect on both the number of freight transactions processed and the dollar amount of invoices processed.</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the pandemic could influence the recognition of credit losses in the Company’s loan and lease portfolios and increase its allowance for credit losses, as both businesses and consumers are negatively impacted by the economic downturn. Bank regulatory agencies and various governmental authorities are urging financial institutions to work prudently with borrowers who are or may be unable to meet their contractual payment obligations because of the effects of COVID-19. In response to the pandemic and in coordination with its primary regulators, the Company has deferred borrower principle payments on loans, on an as needed basis, for periods of up to six months. In addition, the Federal Reserve has taken action to lower the Federal Funds rate, which could adversely affect interest income and therefore, the Company’s results of operations and financial condition.</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 operations may also be disrupted if significant portions of its workforce are unable to work effectively, including because of quarantines, illness, government actions, or other restrictions in connection with the pandemic, travel restrictions, technology limitations and/or disruptions, including remote working measures and their attendant cybersecurity risks. Furthermore, the business operations of the Company and the Bank may be disrupted due to vendors and third-party service providers being unable to work or provide services effectively, including because of quarantines, illness, government actions, or other restrictions in connection with the pandemic.</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extent to which the COVID-19 pandemic impacts the Company’s business, results of operations, and financial condition, as well as its regulatory capital and liquidity ratios, will depend on future developments, which are highly uncertain, including the scope and duration of the pandemic and actions taken by governmental authorities and other third parties in response to the pandemic. Moreover, the effects of the COVID-19 pandemic may heighten many of the other risks described in the section entitled “Risk Factors” in the Company’s most recent Annual Report on Form 10-K and any subsequent Quarterly Report on Form 10-Q or Current Report on Form 8-K including, but not limited to, risks of credit deterioration, interest rate changes, governmental actions, market volatility, security breaches and technology interruptions.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left="540"/>
        <w:spacing w:after="0" w:line="276" w:lineRule="auto"/>
        <w:rPr>
          <w:sz w:val="20"/>
          <w:szCs w:val="20"/>
          <w:color w:val="auto"/>
        </w:rPr>
      </w:pPr>
      <w:r>
        <w:rPr>
          <w:rFonts w:ascii="Arial" w:cs="Arial" w:eastAsia="Arial" w:hAnsi="Arial"/>
          <w:sz w:val="18"/>
          <w:szCs w:val="18"/>
          <w:color w:val="auto"/>
        </w:rPr>
        <w:t>During the three months ended March 31, 2020, the Company repurchased a total of 128,779 shares of its common stock pursuant to its treasury stock buyback program, as follows:</w:t>
      </w:r>
    </w:p>
    <w:p>
      <w:pPr>
        <w:spacing w:after="0" w:line="126"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Number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3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of 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5"/>
        </w:trPr>
        <w:tc>
          <w:tcPr>
            <w:tcW w:w="3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Purchased as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that</w:t>
            </w:r>
          </w:p>
        </w:tc>
      </w:tr>
      <w:tr>
        <w:trPr>
          <w:trHeight w:val="215"/>
        </w:trPr>
        <w:tc>
          <w:tcPr>
            <w:tcW w:w="3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Part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5"/>
        </w:trPr>
        <w:tc>
          <w:tcPr>
            <w:tcW w:w="3580" w:type="dxa"/>
            <w:vAlign w:val="bottom"/>
          </w:tcPr>
          <w:p>
            <w:pPr>
              <w:spacing w:after="0"/>
              <w:rPr>
                <w:sz w:val="18"/>
                <w:szCs w:val="18"/>
                <w:color w:val="auto"/>
              </w:rPr>
            </w:pPr>
          </w:p>
        </w:tc>
        <w:tc>
          <w:tcPr>
            <w:tcW w:w="3240" w:type="dxa"/>
            <w:vAlign w:val="bottom"/>
          </w:tcPr>
          <w:p>
            <w:pPr>
              <w:jc w:val="center"/>
              <w:ind w:left="183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Publicly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5"/>
        </w:trPr>
        <w:tc>
          <w:tcPr>
            <w:tcW w:w="3580" w:type="dxa"/>
            <w:vAlign w:val="bottom"/>
          </w:tcPr>
          <w:p>
            <w:pPr>
              <w:spacing w:after="0"/>
              <w:rPr>
                <w:sz w:val="18"/>
                <w:szCs w:val="18"/>
                <w:color w:val="auto"/>
              </w:rPr>
            </w:pPr>
          </w:p>
        </w:tc>
        <w:tc>
          <w:tcPr>
            <w:tcW w:w="3240" w:type="dxa"/>
            <w:vAlign w:val="bottom"/>
          </w:tcPr>
          <w:p>
            <w:pPr>
              <w:jc w:val="center"/>
              <w:ind w:left="183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5"/>
        </w:trPr>
        <w:tc>
          <w:tcPr>
            <w:tcW w:w="3580" w:type="dxa"/>
            <w:vAlign w:val="bottom"/>
          </w:tcPr>
          <w:p>
            <w:pPr>
              <w:spacing w:after="0"/>
              <w:rPr>
                <w:sz w:val="18"/>
                <w:szCs w:val="18"/>
                <w:color w:val="auto"/>
              </w:rPr>
            </w:pPr>
          </w:p>
        </w:tc>
        <w:tc>
          <w:tcPr>
            <w:tcW w:w="3240" w:type="dxa"/>
            <w:vAlign w:val="bottom"/>
          </w:tcPr>
          <w:p>
            <w:pPr>
              <w:jc w:val="center"/>
              <w:ind w:left="183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Average Price</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Plans 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76"/>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2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86"/>
              </w:rPr>
              <w:t>Purchased</w:t>
            </w: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Paid per Share</w:t>
            </w:r>
          </w:p>
        </w:tc>
        <w:tc>
          <w:tcPr>
            <w:tcW w:w="1320" w:type="dxa"/>
            <w:vAlign w:val="bottom"/>
            <w:tcBorders>
              <w:bottom w:val="single" w:sz="8" w:color="auto"/>
            </w:tcBorders>
          </w:tcPr>
          <w:p>
            <w:pPr>
              <w:jc w:val="center"/>
              <w:ind w:right="10"/>
              <w:spacing w:after="0" w:line="269"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9"/>
                <w:szCs w:val="29"/>
                <w:b w:val="1"/>
                <w:bCs w:val="1"/>
                <w:color w:val="auto"/>
                <w:w w:val="86"/>
                <w:vertAlign w:val="superscript"/>
              </w:rPr>
              <w:t>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5"/>
        </w:trPr>
        <w:tc>
          <w:tcPr>
            <w:tcW w:w="3580" w:type="dxa"/>
            <w:vAlign w:val="bottom"/>
            <w:shd w:val="clear" w:color="auto" w:fill="B2B2B2"/>
          </w:tcPr>
          <w:p>
            <w:pPr>
              <w:ind w:left="40"/>
              <w:spacing w:after="0"/>
              <w:rPr>
                <w:sz w:val="20"/>
                <w:szCs w:val="20"/>
                <w:color w:val="auto"/>
              </w:rPr>
            </w:pPr>
            <w:r>
              <w:rPr>
                <w:rFonts w:ascii="Arial" w:cs="Arial" w:eastAsia="Arial" w:hAnsi="Arial"/>
                <w:sz w:val="18"/>
                <w:szCs w:val="18"/>
                <w:color w:val="auto"/>
              </w:rPr>
              <w:t>January 1, 2020 –</w:t>
            </w:r>
          </w:p>
        </w:tc>
        <w:tc>
          <w:tcPr>
            <w:tcW w:w="3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500,000</w:t>
            </w:r>
          </w:p>
        </w:tc>
      </w:tr>
      <w:tr>
        <w:trPr>
          <w:trHeight w:val="215"/>
        </w:trPr>
        <w:tc>
          <w:tcPr>
            <w:tcW w:w="3580" w:type="dxa"/>
            <w:vAlign w:val="bottom"/>
          </w:tcPr>
          <w:p>
            <w:pPr>
              <w:ind w:left="40"/>
              <w:spacing w:after="0"/>
              <w:rPr>
                <w:sz w:val="20"/>
                <w:szCs w:val="20"/>
                <w:color w:val="auto"/>
              </w:rPr>
            </w:pPr>
            <w:r>
              <w:rPr>
                <w:rFonts w:ascii="Arial" w:cs="Arial" w:eastAsia="Arial" w:hAnsi="Arial"/>
                <w:sz w:val="18"/>
                <w:szCs w:val="18"/>
                <w:color w:val="auto"/>
              </w:rPr>
              <w:t>January 31, 2020</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3580" w:type="dxa"/>
            <w:vAlign w:val="bottom"/>
            <w:shd w:val="clear" w:color="auto" w:fill="B2B2B2"/>
          </w:tcPr>
          <w:p>
            <w:pPr>
              <w:ind w:left="40"/>
              <w:spacing w:after="0"/>
              <w:rPr>
                <w:sz w:val="20"/>
                <w:szCs w:val="20"/>
                <w:color w:val="auto"/>
              </w:rPr>
            </w:pPr>
            <w:r>
              <w:rPr>
                <w:rFonts w:ascii="Arial" w:cs="Arial" w:eastAsia="Arial" w:hAnsi="Arial"/>
                <w:sz w:val="18"/>
                <w:szCs w:val="18"/>
                <w:color w:val="auto"/>
              </w:rPr>
              <w:t>February 1, 2020 –</w:t>
            </w:r>
          </w:p>
        </w:tc>
        <w:tc>
          <w:tcPr>
            <w:tcW w:w="32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r>
      <w:tr>
        <w:trPr>
          <w:trHeight w:val="215"/>
        </w:trPr>
        <w:tc>
          <w:tcPr>
            <w:tcW w:w="3580" w:type="dxa"/>
            <w:vAlign w:val="bottom"/>
          </w:tcPr>
          <w:p>
            <w:pPr>
              <w:ind w:left="40"/>
              <w:spacing w:after="0"/>
              <w:rPr>
                <w:sz w:val="20"/>
                <w:szCs w:val="20"/>
                <w:color w:val="auto"/>
              </w:rPr>
            </w:pPr>
            <w:r>
              <w:rPr>
                <w:rFonts w:ascii="Arial" w:cs="Arial" w:eastAsia="Arial" w:hAnsi="Arial"/>
                <w:sz w:val="18"/>
                <w:szCs w:val="18"/>
                <w:color w:val="auto"/>
              </w:rPr>
              <w:t>February 29, 2020</w:t>
            </w:r>
          </w:p>
        </w:tc>
        <w:tc>
          <w:tcPr>
            <w:tcW w:w="3240" w:type="dxa"/>
            <w:vAlign w:val="bottom"/>
          </w:tcPr>
          <w:p>
            <w:pPr>
              <w:jc w:val="right"/>
              <w:spacing w:after="0"/>
              <w:rPr>
                <w:sz w:val="20"/>
                <w:szCs w:val="20"/>
                <w:color w:val="auto"/>
              </w:rPr>
            </w:pPr>
            <w:r>
              <w:rPr>
                <w:rFonts w:ascii="Arial" w:cs="Arial" w:eastAsia="Arial" w:hAnsi="Arial"/>
                <w:sz w:val="18"/>
                <w:szCs w:val="18"/>
                <w:color w:val="auto"/>
              </w:rPr>
              <w:t>17,400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50.19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17,400</w:t>
            </w:r>
          </w:p>
        </w:tc>
        <w:tc>
          <w:tcPr>
            <w:tcW w:w="1140" w:type="dxa"/>
            <w:vAlign w:val="bottom"/>
          </w:tcPr>
          <w:p>
            <w:pPr>
              <w:jc w:val="right"/>
              <w:spacing w:after="0"/>
              <w:rPr>
                <w:sz w:val="20"/>
                <w:szCs w:val="20"/>
                <w:color w:val="auto"/>
              </w:rPr>
            </w:pPr>
            <w:r>
              <w:rPr>
                <w:rFonts w:ascii="Arial" w:cs="Arial" w:eastAsia="Arial" w:hAnsi="Arial"/>
                <w:sz w:val="18"/>
                <w:szCs w:val="18"/>
                <w:color w:val="auto"/>
              </w:rPr>
              <w:t>482,600</w:t>
            </w:r>
          </w:p>
        </w:tc>
      </w:tr>
      <w:tr>
        <w:trPr>
          <w:trHeight w:val="215"/>
        </w:trPr>
        <w:tc>
          <w:tcPr>
            <w:tcW w:w="3580" w:type="dxa"/>
            <w:vAlign w:val="bottom"/>
            <w:shd w:val="clear" w:color="auto" w:fill="B2B2B2"/>
          </w:tcPr>
          <w:p>
            <w:pPr>
              <w:ind w:left="40"/>
              <w:spacing w:after="0"/>
              <w:rPr>
                <w:sz w:val="20"/>
                <w:szCs w:val="20"/>
                <w:color w:val="auto"/>
              </w:rPr>
            </w:pPr>
            <w:r>
              <w:rPr>
                <w:rFonts w:ascii="Arial" w:cs="Arial" w:eastAsia="Arial" w:hAnsi="Arial"/>
                <w:sz w:val="18"/>
                <w:szCs w:val="18"/>
                <w:color w:val="auto"/>
              </w:rPr>
              <w:t>March 1, 2020 –</w:t>
            </w:r>
          </w:p>
        </w:tc>
        <w:tc>
          <w:tcPr>
            <w:tcW w:w="32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r>
      <w:tr>
        <w:trPr>
          <w:trHeight w:val="215"/>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March 31, 2020</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111,379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371,221</w:t>
            </w:r>
          </w:p>
        </w:tc>
      </w:tr>
      <w:tr>
        <w:trPr>
          <w:trHeight w:val="216"/>
        </w:trPr>
        <w:tc>
          <w:tcPr>
            <w:tcW w:w="3580" w:type="dxa"/>
            <w:vAlign w:val="bottom"/>
            <w:tcBorders>
              <w:bottom w:val="single" w:sz="8" w:color="auto"/>
            </w:tcBorders>
            <w:shd w:val="clear" w:color="auto" w:fill="B2B2B2"/>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128,779</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42.77</w:t>
            </w:r>
          </w:p>
        </w:tc>
        <w:tc>
          <w:tcPr>
            <w:tcW w:w="13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128,779</w:t>
            </w: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371,221</w:t>
            </w:r>
          </w:p>
        </w:tc>
      </w:tr>
    </w:tbl>
    <w:p>
      <w:pPr>
        <w:spacing w:after="0" w:line="174" w:lineRule="exact"/>
        <w:rPr>
          <w:sz w:val="20"/>
          <w:szCs w:val="20"/>
          <w:color w:val="auto"/>
        </w:rPr>
      </w:pPr>
    </w:p>
    <w:p>
      <w:pPr>
        <w:ind w:left="860" w:right="60" w:hanging="314"/>
        <w:spacing w:after="0" w:line="275"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repurchases made during the quarter ended March 31, 2020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22, 2019 to restore the aggregate number of shares available for repurchase to 500,000.</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5. OTHER INFORMATION</w:t>
      </w:r>
    </w:p>
    <w:p>
      <w:pPr>
        <w:spacing w:after="0" w:line="39" w:lineRule="exact"/>
        <w:rPr>
          <w:sz w:val="20"/>
          <w:szCs w:val="20"/>
          <w:color w:val="auto"/>
        </w:rPr>
      </w:pPr>
    </w:p>
    <w:p>
      <w:pPr>
        <w:ind w:left="720" w:hanging="353"/>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89" w:lineRule="exact"/>
        <w:rPr>
          <w:rFonts w:ascii="Arial" w:cs="Arial" w:eastAsia="Arial" w:hAnsi="Arial"/>
          <w:sz w:val="18"/>
          <w:szCs w:val="18"/>
          <w:color w:val="auto"/>
        </w:rPr>
      </w:pPr>
    </w:p>
    <w:p>
      <w:pPr>
        <w:ind w:left="720" w:hanging="353"/>
        <w:spacing w:after="0" w:line="27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First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5"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31.1 Certification Pursuant to Section 302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31.2 Certification Pursuant to Section 302 of the Sarbanes-Oxley Act of 2002.</w:t>
        </w:r>
      </w:hyperlink>
    </w:p>
    <w:p>
      <w:pPr>
        <w:spacing w:after="0" w:line="197"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32.1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 32.2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line="276"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01" w:lineRule="exact"/>
        <w:rPr>
          <w:sz w:val="20"/>
          <w:szCs w:val="20"/>
          <w:color w:val="auto"/>
        </w:rPr>
      </w:pPr>
    </w:p>
    <w:p>
      <w:pPr>
        <w:ind w:firstLine="323"/>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CASS INFORMATION SYSTEMS, INC.</w:t>
            </w:r>
          </w:p>
        </w:tc>
      </w:tr>
      <w:tr>
        <w:trPr>
          <w:trHeight w:val="646"/>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H. Brunngraber</w:t>
            </w:r>
          </w:p>
        </w:tc>
      </w:tr>
      <w:tr>
        <w:trPr>
          <w:trHeight w:val="195"/>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3"/>
              </w:rPr>
              <w:t>Eric H. Brunngraber</w:t>
            </w:r>
          </w:p>
        </w:tc>
      </w:tr>
      <w:tr>
        <w:trPr>
          <w:trHeight w:val="215"/>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646"/>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 Stephen Appelbaum</w:t>
            </w:r>
          </w:p>
        </w:tc>
      </w:tr>
      <w:tr>
        <w:trPr>
          <w:trHeight w:val="211"/>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P. Stephen Appelbaum</w:t>
            </w:r>
          </w:p>
        </w:tc>
      </w:tr>
    </w:tbl>
    <w:p>
      <w:pPr>
        <w:jc w:val="cente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4"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4" w:lineRule="exact"/>
        <w:rPr>
          <w:rFonts w:ascii="Arial" w:cs="Arial" w:eastAsia="Arial" w:hAnsi="Arial"/>
          <w:sz w:val="18"/>
          <w:szCs w:val="18"/>
          <w:color w:val="auto"/>
        </w:rPr>
      </w:pPr>
    </w:p>
    <w:p>
      <w:pPr>
        <w:ind w:left="300" w:hanging="292"/>
        <w:spacing w:after="0" w:line="330" w:lineRule="auto"/>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300" w:hanging="292"/>
        <w:spacing w:after="0" w:line="267"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300" w:hanging="292"/>
        <w:spacing w:after="0" w:line="258"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640" w:hanging="349"/>
        <w:spacing w:after="0" w:line="258"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640" w:hanging="349"/>
        <w:spacing w:after="0" w:line="258"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40" w:hanging="349"/>
        <w:spacing w:after="0" w:line="330" w:lineRule="auto"/>
        <w:tabs>
          <w:tab w:leader="none" w:pos="6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640" w:hanging="349"/>
        <w:spacing w:after="0" w:line="258"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300" w:right="20" w:hanging="292"/>
        <w:spacing w:after="0" w:line="330" w:lineRule="auto"/>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640" w:hanging="349"/>
        <w:spacing w:after="0" w:line="26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640" w:hanging="349"/>
        <w:spacing w:after="0" w:line="26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5"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19050</wp:posOffset>
            </wp:positionV>
            <wp:extent cx="1402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2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Eric H. Brunngraber</w:t>
      </w:r>
    </w:p>
    <w:p>
      <w:pPr>
        <w:spacing w:after="0" w:line="35" w:lineRule="exact"/>
        <w:rPr>
          <w:sz w:val="20"/>
          <w:szCs w:val="20"/>
          <w:color w:val="auto"/>
        </w:rPr>
      </w:pPr>
    </w:p>
    <w:p>
      <w:pPr>
        <w:ind w:left="9040"/>
        <w:spacing w:after="0"/>
        <w:rPr>
          <w:sz w:val="20"/>
          <w:szCs w:val="20"/>
          <w:color w:val="auto"/>
        </w:rPr>
      </w:pPr>
      <w:r>
        <w:rPr>
          <w:rFonts w:ascii="Arial" w:cs="Arial" w:eastAsia="Arial" w:hAnsi="Arial"/>
          <w:sz w:val="15"/>
          <w:szCs w:val="15"/>
          <w:color w:val="auto"/>
        </w:rPr>
        <w:t>Chairman, President, and Chief</w:t>
      </w:r>
    </w:p>
    <w:p>
      <w:pPr>
        <w:spacing w:after="0" w:line="7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Executive Officer</w:t>
      </w:r>
    </w:p>
    <w:p>
      <w:pPr>
        <w:spacing w:after="0" w:line="35"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71539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4"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4" w:lineRule="exact"/>
        <w:rPr>
          <w:rFonts w:ascii="Arial" w:cs="Arial" w:eastAsia="Arial" w:hAnsi="Arial"/>
          <w:sz w:val="18"/>
          <w:szCs w:val="18"/>
          <w:color w:val="auto"/>
        </w:rPr>
      </w:pPr>
    </w:p>
    <w:p>
      <w:pPr>
        <w:ind w:left="300" w:hanging="292"/>
        <w:spacing w:after="0" w:line="330"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300" w:hanging="292"/>
        <w:spacing w:after="0" w:line="26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300" w:hanging="292"/>
        <w:spacing w:after="0" w:line="258"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640" w:hanging="349"/>
        <w:spacing w:after="0" w:line="258"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640" w:hanging="349"/>
        <w:spacing w:after="0" w:line="258"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40" w:hanging="349"/>
        <w:spacing w:after="0" w:line="330" w:lineRule="auto"/>
        <w:tabs>
          <w:tab w:leader="none" w:pos="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640" w:hanging="349"/>
        <w:spacing w:after="0" w:line="258"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300" w:right="20" w:hanging="292"/>
        <w:spacing w:after="0" w:line="330"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640" w:hanging="349"/>
        <w:spacing w:after="0" w:line="267"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640" w:hanging="349"/>
        <w:spacing w:after="0" w:line="267" w:lineRule="auto"/>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5"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19050</wp:posOffset>
            </wp:positionV>
            <wp:extent cx="2001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1520" cy="8255"/>
                    </a:xfrm>
                    <a:prstGeom prst="rect">
                      <a:avLst/>
                    </a:prstGeom>
                    <a:noFill/>
                  </pic:spPr>
                </pic:pic>
              </a:graphicData>
            </a:graphic>
          </wp:anchor>
        </w:drawing>
      </w:r>
    </w:p>
    <w:p>
      <w:pPr>
        <w:spacing w:after="0" w:line="2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 Stephen Appelbaum</w:t>
      </w:r>
    </w:p>
    <w:p>
      <w:pPr>
        <w:spacing w:after="0" w:line="3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Executive Vice President and Chief</w:t>
      </w:r>
    </w:p>
    <w:p>
      <w:pPr>
        <w:spacing w:after="0" w:line="3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Financial Officer</w:t>
      </w:r>
    </w:p>
    <w:p>
      <w:pPr>
        <w:spacing w:after="0" w:line="35"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71539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March 31, 2020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1" w:lineRule="exact"/>
        <w:rPr>
          <w:sz w:val="20"/>
          <w:szCs w:val="20"/>
          <w:color w:val="auto"/>
        </w:rPr>
      </w:pPr>
    </w:p>
    <w:p>
      <w:pPr>
        <w:ind w:left="620" w:hanging="34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20" w:hanging="343"/>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10795</wp:posOffset>
            </wp:positionV>
            <wp:extent cx="18732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spacing w:after="0" w:line="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300"/>
        <w:spacing w:after="0"/>
        <w:rPr>
          <w:sz w:val="20"/>
          <w:szCs w:val="20"/>
          <w:color w:val="auto"/>
        </w:rPr>
      </w:pPr>
      <w:r>
        <w:rPr>
          <w:rFonts w:ascii="Arial" w:cs="Arial" w:eastAsia="Arial" w:hAnsi="Arial"/>
          <w:sz w:val="15"/>
          <w:szCs w:val="15"/>
          <w:color w:val="auto"/>
        </w:rPr>
        <w:t>Chairman, President, and Chief Executive</w:t>
      </w:r>
    </w:p>
    <w:p>
      <w:pPr>
        <w:spacing w:after="0" w:line="4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May 7, 2020</w:t>
      </w:r>
    </w:p>
    <w:p>
      <w:pPr>
        <w:spacing w:after="0" w:line="21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1539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March 31, 2020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620" w:hanging="34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20" w:hanging="343"/>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10795</wp:posOffset>
            </wp:positionV>
            <wp:extent cx="20015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1520" cy="8255"/>
                    </a:xfrm>
                    <a:prstGeom prst="rect">
                      <a:avLst/>
                    </a:prstGeom>
                    <a:noFill/>
                  </pic:spPr>
                </pic:pic>
              </a:graphicData>
            </a:graphic>
          </wp:anchor>
        </w:drawing>
      </w:r>
    </w:p>
    <w:p>
      <w:pPr>
        <w:spacing w:after="0" w:line="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May 7, 2020</w:t>
      </w:r>
    </w:p>
    <w:p>
      <w:pPr>
        <w:spacing w:after="0" w:line="21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1539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2020-05-07T09:55:07Z</dcterms:created>
  <dcterms:modified xsi:type="dcterms:W3CDTF">2020-05-07T09:55:07Z</dcterms:modified>
</cp:coreProperties>
</file>