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20"/>
        <w:spacing w:after="0"/>
        <w:tabs>
          <w:tab w:leader="none" w:pos="26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1528445</wp:posOffset>
            </wp:positionH>
            <wp:positionV relativeFrom="paragraph">
              <wp:posOffset>-13970</wp:posOffset>
            </wp:positionV>
            <wp:extent cx="1350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66" w:lineRule="exact"/>
        <w:rPr>
          <w:sz w:val="24"/>
          <w:szCs w:val="24"/>
          <w:color w:val="auto"/>
        </w:rPr>
      </w:pPr>
    </w:p>
    <w:p>
      <w:pPr>
        <w:ind w:left="280" w:right="2680" w:hanging="272"/>
        <w:spacing w:after="0" w:line="474" w:lineRule="auto"/>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 to _____________</w:t>
      </w:r>
    </w:p>
    <w:p>
      <w:pPr>
        <w:spacing w:after="0" w:line="1"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5340" w:type="dxa"/>
            <w:vAlign w:val="bottom"/>
          </w:tcPr>
          <w:p>
            <w:pPr>
              <w:jc w:val="center"/>
              <w:ind w:right="2815"/>
              <w:spacing w:after="0"/>
              <w:rPr>
                <w:sz w:val="20"/>
                <w:szCs w:val="20"/>
                <w:color w:val="auto"/>
              </w:rPr>
            </w:pPr>
            <w:r>
              <w:rPr>
                <w:rFonts w:ascii="Arial" w:cs="Arial" w:eastAsia="Arial" w:hAnsi="Arial"/>
                <w:sz w:val="18"/>
                <w:szCs w:val="18"/>
                <w:b w:val="1"/>
                <w:bCs w:val="1"/>
                <w:color w:val="auto"/>
                <w:w w:val="87"/>
              </w:rPr>
              <w:t>Commission File No. 000-20827</w:t>
            </w:r>
          </w:p>
        </w:tc>
      </w:tr>
      <w:tr>
        <w:trPr>
          <w:trHeight w:val="134"/>
        </w:trPr>
        <w:tc>
          <w:tcPr>
            <w:tcW w:w="3240" w:type="dxa"/>
            <w:vAlign w:val="bottom"/>
          </w:tcPr>
          <w:p>
            <w:pPr>
              <w:spacing w:after="0"/>
              <w:rPr>
                <w:sz w:val="11"/>
                <w:szCs w:val="11"/>
                <w:color w:val="auto"/>
              </w:rPr>
            </w:pPr>
          </w:p>
        </w:tc>
        <w:tc>
          <w:tcPr>
            <w:tcW w:w="5340" w:type="dxa"/>
            <w:vAlign w:val="bottom"/>
          </w:tcPr>
          <w:p>
            <w:pPr>
              <w:jc w:val="right"/>
              <w:ind w:right="3495"/>
              <w:spacing w:after="0" w:line="135" w:lineRule="exact"/>
              <w:rPr>
                <w:sz w:val="20"/>
                <w:szCs w:val="20"/>
                <w:color w:val="auto"/>
              </w:rPr>
            </w:pPr>
            <w:r>
              <w:rPr>
                <w:rFonts w:ascii="Arial" w:cs="Arial" w:eastAsia="Arial" w:hAnsi="Arial"/>
                <w:sz w:val="14"/>
                <w:szCs w:val="14"/>
                <w:b w:val="1"/>
                <w:bCs w:val="1"/>
                <w:color w:val="auto"/>
              </w:rPr>
              <w:t>________________</w:t>
            </w:r>
          </w:p>
        </w:tc>
      </w:tr>
      <w:tr>
        <w:trPr>
          <w:trHeight w:val="262"/>
        </w:trPr>
        <w:tc>
          <w:tcPr>
            <w:tcW w:w="8580" w:type="dxa"/>
            <w:vAlign w:val="bottom"/>
            <w:gridSpan w:val="2"/>
          </w:tcPr>
          <w:p>
            <w:pPr>
              <w:ind w:left="2520"/>
              <w:spacing w:after="0"/>
              <w:rPr>
                <w:sz w:val="20"/>
                <w:szCs w:val="20"/>
                <w:color w:val="auto"/>
              </w:rPr>
            </w:pPr>
            <w:r>
              <w:rPr>
                <w:rFonts w:ascii="Arial" w:cs="Arial" w:eastAsia="Arial" w:hAnsi="Arial"/>
                <w:sz w:val="22"/>
                <w:szCs w:val="22"/>
                <w:b w:val="1"/>
                <w:bCs w:val="1"/>
                <w:color w:val="auto"/>
              </w:rPr>
              <w:t>CASS INFORMATION SYSTEMS, INC.</w:t>
            </w:r>
          </w:p>
        </w:tc>
      </w:tr>
      <w:tr>
        <w:trPr>
          <w:trHeight w:val="222"/>
        </w:trPr>
        <w:tc>
          <w:tcPr>
            <w:tcW w:w="85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Missouri</w:t>
            </w:r>
          </w:p>
        </w:tc>
        <w:tc>
          <w:tcPr>
            <w:tcW w:w="5340" w:type="dxa"/>
            <w:vAlign w:val="bottom"/>
          </w:tcPr>
          <w:p>
            <w:pPr>
              <w:jc w:val="right"/>
              <w:ind w:right="755"/>
              <w:spacing w:after="0"/>
              <w:rPr>
                <w:sz w:val="20"/>
                <w:szCs w:val="20"/>
                <w:color w:val="auto"/>
              </w:rPr>
            </w:pPr>
            <w:r>
              <w:rPr>
                <w:rFonts w:ascii="Arial" w:cs="Arial" w:eastAsia="Arial" w:hAnsi="Arial"/>
                <w:sz w:val="18"/>
                <w:szCs w:val="18"/>
                <w:b w:val="1"/>
                <w:bCs w:val="1"/>
                <w:color w:val="auto"/>
              </w:rPr>
              <w:t>43-1265338</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5340" w:type="dxa"/>
            <w:vAlign w:val="bottom"/>
          </w:tcPr>
          <w:p>
            <w:pPr>
              <w:jc w:val="center"/>
              <w:ind w:left="2715"/>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5340" w:type="dxa"/>
            <w:vAlign w:val="bottom"/>
          </w:tcPr>
          <w:p>
            <w:pPr>
              <w:spacing w:after="0"/>
              <w:rPr>
                <w:sz w:val="19"/>
                <w:szCs w:val="19"/>
                <w:color w:val="auto"/>
              </w:rPr>
            </w:pPr>
          </w:p>
        </w:tc>
      </w:tr>
      <w:tr>
        <w:trPr>
          <w:trHeight w:val="231"/>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7"/>
              </w:rPr>
              <w:t>12444 Powerscourt Drive, Suite 550</w:t>
            </w:r>
          </w:p>
        </w:tc>
        <w:tc>
          <w:tcPr>
            <w:tcW w:w="5340" w:type="dxa"/>
            <w:vAlign w:val="bottom"/>
          </w:tcPr>
          <w:p>
            <w:pPr>
              <w:spacing w:after="0"/>
              <w:rPr>
                <w:sz w:val="20"/>
                <w:szCs w:val="20"/>
                <w:color w:val="auto"/>
              </w:rPr>
            </w:pP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8"/>
              </w:rPr>
              <w:t>St. Louis, Missouri</w:t>
            </w:r>
          </w:p>
        </w:tc>
        <w:tc>
          <w:tcPr>
            <w:tcW w:w="5340" w:type="dxa"/>
            <w:vAlign w:val="bottom"/>
          </w:tcPr>
          <w:p>
            <w:pPr>
              <w:jc w:val="right"/>
              <w:ind w:right="975"/>
              <w:spacing w:after="0"/>
              <w:rPr>
                <w:sz w:val="20"/>
                <w:szCs w:val="20"/>
                <w:color w:val="auto"/>
              </w:rPr>
            </w:pPr>
            <w:r>
              <w:rPr>
                <w:rFonts w:ascii="Arial" w:cs="Arial" w:eastAsia="Arial" w:hAnsi="Arial"/>
                <w:sz w:val="18"/>
                <w:szCs w:val="18"/>
                <w:b w:val="1"/>
                <w:bCs w:val="1"/>
                <w:color w:val="auto"/>
              </w:rPr>
              <w:t>63131</w:t>
            </w: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5340" w:type="dxa"/>
            <w:vAlign w:val="bottom"/>
          </w:tcPr>
          <w:p>
            <w:pPr>
              <w:jc w:val="center"/>
              <w:ind w:left="2715"/>
              <w:spacing w:after="0"/>
              <w:rPr>
                <w:sz w:val="20"/>
                <w:szCs w:val="20"/>
                <w:color w:val="auto"/>
              </w:rPr>
            </w:pPr>
            <w:r>
              <w:rPr>
                <w:rFonts w:ascii="Arial" w:cs="Arial" w:eastAsia="Arial" w:hAnsi="Arial"/>
                <w:sz w:val="18"/>
                <w:szCs w:val="18"/>
                <w:color w:val="auto"/>
                <w:w w:val="91"/>
              </w:rPr>
              <w:t>(Zip Code)</w:t>
            </w:r>
          </w:p>
        </w:tc>
      </w:tr>
      <w:tr>
        <w:trPr>
          <w:trHeight w:val="432"/>
        </w:trPr>
        <w:tc>
          <w:tcPr>
            <w:tcW w:w="3240" w:type="dxa"/>
            <w:vAlign w:val="bottom"/>
          </w:tcPr>
          <w:p>
            <w:pPr>
              <w:spacing w:after="0"/>
              <w:rPr>
                <w:sz w:val="24"/>
                <w:szCs w:val="24"/>
                <w:color w:val="auto"/>
              </w:rPr>
            </w:pPr>
          </w:p>
        </w:tc>
        <w:tc>
          <w:tcPr>
            <w:tcW w:w="5340" w:type="dxa"/>
            <w:vAlign w:val="bottom"/>
          </w:tcPr>
          <w:p>
            <w:pPr>
              <w:jc w:val="right"/>
              <w:ind w:right="3495"/>
              <w:spacing w:after="0"/>
              <w:rPr>
                <w:sz w:val="20"/>
                <w:szCs w:val="20"/>
                <w:color w:val="auto"/>
              </w:rPr>
            </w:pPr>
            <w:r>
              <w:rPr>
                <w:rFonts w:ascii="Arial" w:cs="Arial" w:eastAsia="Arial" w:hAnsi="Arial"/>
                <w:sz w:val="18"/>
                <w:szCs w:val="18"/>
                <w:b w:val="1"/>
                <w:bCs w:val="1"/>
                <w:color w:val="auto"/>
              </w:rPr>
              <w:t>(314) 506-5500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spacing w:after="0" w:line="19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800"/>
        <w:spacing w:after="0"/>
        <w:tabs>
          <w:tab w:leader="none" w:pos="6520" w:val="left"/>
          <w:tab w:leader="none" w:pos="734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4040505</wp:posOffset>
            </wp:positionH>
            <wp:positionV relativeFrom="paragraph">
              <wp:posOffset>-17780</wp:posOffset>
            </wp:positionV>
            <wp:extent cx="303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5800"/>
        <w:spacing w:after="0"/>
        <w:tabs>
          <w:tab w:leader="none" w:pos="6520" w:val="left"/>
          <w:tab w:leader="none" w:pos="734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4040505</wp:posOffset>
            </wp:positionH>
            <wp:positionV relativeFrom="paragraph">
              <wp:posOffset>-17780</wp:posOffset>
            </wp:positionV>
            <wp:extent cx="303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280" w:type="dxa"/>
            <w:vAlign w:val="bottom"/>
          </w:tcPr>
          <w:p>
            <w:pPr>
              <w:ind w:left="100"/>
              <w:spacing w:after="0"/>
              <w:rPr>
                <w:sz w:val="20"/>
                <w:szCs w:val="20"/>
                <w:color w:val="auto"/>
              </w:rPr>
            </w:pPr>
            <w:r>
              <w:rPr>
                <w:rFonts w:ascii="Arial" w:cs="Arial" w:eastAsia="Arial" w:hAnsi="Arial"/>
                <w:sz w:val="18"/>
                <w:szCs w:val="18"/>
                <w:color w:val="auto"/>
              </w:rPr>
              <w:t>Accelerated Filer _____</w:t>
            </w:r>
          </w:p>
        </w:tc>
        <w:tc>
          <w:tcPr>
            <w:tcW w:w="31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505"/>
        </w:trPr>
        <w:tc>
          <w:tcPr>
            <w:tcW w:w="3380" w:type="dxa"/>
            <w:vAlign w:val="bottom"/>
            <w:gridSpan w:val="3"/>
          </w:tcPr>
          <w:p>
            <w:pPr>
              <w:spacing w:after="0"/>
              <w:rPr>
                <w:sz w:val="20"/>
                <w:szCs w:val="20"/>
                <w:color w:val="auto"/>
              </w:rPr>
            </w:pPr>
            <w:r>
              <w:rPr>
                <w:rFonts w:ascii="Arial" w:cs="Arial" w:eastAsia="Arial" w:hAnsi="Arial"/>
                <w:sz w:val="18"/>
                <w:szCs w:val="18"/>
                <w:color w:val="auto"/>
              </w:rPr>
              <w:t>Non-Accelerated Filer _____</w:t>
            </w:r>
          </w:p>
        </w:tc>
        <w:tc>
          <w:tcPr>
            <w:tcW w:w="3280" w:type="dxa"/>
            <w:vAlign w:val="bottom"/>
          </w:tcPr>
          <w:p>
            <w:pPr>
              <w:ind w:left="100"/>
              <w:spacing w:after="0"/>
              <w:rPr>
                <w:sz w:val="20"/>
                <w:szCs w:val="20"/>
                <w:color w:val="auto"/>
              </w:rPr>
            </w:pPr>
            <w:r>
              <w:rPr>
                <w:rFonts w:ascii="Arial" w:cs="Arial" w:eastAsia="Arial" w:hAnsi="Arial"/>
                <w:sz w:val="18"/>
                <w:szCs w:val="18"/>
                <w:color w:val="auto"/>
              </w:rPr>
              <w:t>Smaller Reporting Company _____</w:t>
            </w:r>
          </w:p>
        </w:tc>
        <w:tc>
          <w:tcPr>
            <w:tcW w:w="3140" w:type="dxa"/>
            <w:vAlign w:val="bottom"/>
          </w:tcPr>
          <w:p>
            <w:pPr>
              <w:ind w:left="660"/>
              <w:spacing w:after="0"/>
              <w:rPr>
                <w:sz w:val="20"/>
                <w:szCs w:val="20"/>
                <w:color w:val="auto"/>
              </w:rPr>
            </w:pPr>
            <w:r>
              <w:rPr>
                <w:rFonts w:ascii="Arial" w:cs="Arial" w:eastAsia="Arial" w:hAnsi="Arial"/>
                <w:sz w:val="18"/>
                <w:szCs w:val="18"/>
                <w:color w:val="auto"/>
                <w:w w:val="88"/>
              </w:rPr>
              <w:t>Emerging Growth Company _____</w:t>
            </w:r>
          </w:p>
        </w:tc>
      </w:tr>
      <w:tr>
        <w:trPr>
          <w:trHeight w:val="243"/>
        </w:trPr>
        <w:tc>
          <w:tcPr>
            <w:tcW w:w="3380" w:type="dxa"/>
            <w:vAlign w:val="bottom"/>
            <w:gridSpan w:val="3"/>
          </w:tcPr>
          <w:p>
            <w:pPr>
              <w:spacing w:after="0"/>
              <w:rPr>
                <w:sz w:val="20"/>
                <w:szCs w:val="20"/>
                <w:color w:val="auto"/>
              </w:rPr>
            </w:pPr>
            <w:r>
              <w:rPr>
                <w:rFonts w:ascii="Arial" w:cs="Arial" w:eastAsia="Arial" w:hAnsi="Arial"/>
                <w:sz w:val="18"/>
                <w:szCs w:val="18"/>
                <w:color w:val="auto"/>
                <w:w w:val="92"/>
              </w:rPr>
              <w:t>(Do not check if a smaller reporting company)</w:t>
            </w:r>
          </w:p>
        </w:tc>
        <w:tc>
          <w:tcPr>
            <w:tcW w:w="3280" w:type="dxa"/>
            <w:vAlign w:val="bottom"/>
          </w:tcPr>
          <w:p>
            <w:pPr>
              <w:spacing w:after="0"/>
              <w:rPr>
                <w:sz w:val="21"/>
                <w:szCs w:val="21"/>
                <w:color w:val="auto"/>
              </w:rPr>
            </w:pPr>
          </w:p>
        </w:tc>
        <w:tc>
          <w:tcPr>
            <w:tcW w:w="3140" w:type="dxa"/>
            <w:vAlign w:val="bottom"/>
          </w:tcPr>
          <w:p>
            <w:pPr>
              <w:spacing w:after="0"/>
              <w:rPr>
                <w:sz w:val="21"/>
                <w:szCs w:val="21"/>
                <w:color w:val="auto"/>
              </w:rPr>
            </w:pPr>
          </w:p>
        </w:tc>
      </w:tr>
    </w:tbl>
    <w:p>
      <w:pPr>
        <w:spacing w:after="0" w:line="223"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w:t>
      </w:r>
    </w:p>
    <w:p>
      <w:pPr>
        <w:spacing w:after="0" w:line="186"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4480"/>
        <w:spacing w:after="0"/>
        <w:tabs>
          <w:tab w:leader="none" w:pos="4980" w:val="left"/>
          <w:tab w:leader="none" w:pos="5940" w:val="left"/>
          <w:tab w:leader="none" w:pos="6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4113530</wp:posOffset>
            </wp:positionH>
            <wp:positionV relativeFrom="paragraph">
              <wp:posOffset>-17780</wp:posOffset>
            </wp:positionV>
            <wp:extent cx="303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April 25, 2018: Common stock, par value $.50 per share – 12,287,374 shares outstanding.</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5"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Consolidated Balance Sheets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March 31, 2018 (unaudited) and December 31, 2017</w:t>
      </w: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Consolidated Statements of Income</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Three months ended March 31, 2018 and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Consolidated Statements of Comprehensive Income</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Three months ended March 31, 2018 and 2017 (unaudited)</w:t>
      </w: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Consolidated Statements of Cash Flows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Three months ended March 31, 2018 and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Notes to Consolidated Financial Statements (unaudited)</w:t>
      </w:r>
    </w:p>
    <w:p>
      <w:pPr>
        <w:spacing w:after="0" w:line="279"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6" w:lineRule="exact"/>
        <w:rPr>
          <w:sz w:val="20"/>
          <w:szCs w:val="20"/>
          <w:color w:val="auto"/>
        </w:rPr>
      </w:pPr>
    </w:p>
    <w:p>
      <w:pPr>
        <w:spacing w:after="0"/>
        <w:tabs>
          <w:tab w:leader="none" w:pos="980" w:val="left"/>
        </w:tabs>
        <w:rPr>
          <w:sz w:val="20"/>
          <w:szCs w:val="20"/>
          <w:color w:val="auto"/>
        </w:rPr>
      </w:pPr>
      <w:r>
        <w:rPr>
          <w:sz w:val="1"/>
          <w:szCs w:val="1"/>
          <w:color w:val="auto"/>
        </w:rPr>
        <w:drawing>
          <wp:inline distT="0" distB="0" distL="0" distR="0">
            <wp:extent cx="171450" cy="308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308610"/>
                    </a:xfrm>
                    <a:prstGeom prst="rect">
                      <a:avLst/>
                    </a:prstGeom>
                    <a:noFill/>
                    <a:ln>
                      <a:noFill/>
                    </a:ln>
                  </pic:spPr>
                </pic:pic>
              </a:graphicData>
            </a:graphic>
          </wp:inline>
        </w:drawing>
      </w: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-153670</wp:posOffset>
            </wp:positionV>
            <wp:extent cx="707517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154305"/>
                    </a:xfrm>
                    <a:prstGeom prst="rect">
                      <a:avLst/>
                    </a:prstGeom>
                    <a:noFill/>
                  </pic:spPr>
                </pic:pic>
              </a:graphicData>
            </a:graphic>
          </wp:anchor>
        </w:drawing>
      </w:r>
    </w:p>
    <w:p>
      <w:pPr>
        <w:ind w:left="280"/>
        <w:spacing w:after="0"/>
        <w:tabs>
          <w:tab w:leader="none" w:pos="9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SIGNATURES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662" w:lineRule="exact"/>
        <w:rPr>
          <w:sz w:val="20"/>
          <w:szCs w:val="20"/>
          <w:color w:val="auto"/>
        </w:rPr>
      </w:pPr>
    </w:p>
    <w:p>
      <w:pPr>
        <w:sectPr>
          <w:pgSz w:w="11900" w:h="16838" w:orient="portrait"/>
          <w:cols w:equalWidth="0" w:num="2">
            <w:col w:w="10520" w:space="720"/>
            <w:col w:w="180"/>
          </w:cols>
          <w:pgMar w:left="240" w:top="125" w:right="239" w:bottom="1440" w:gutter="0" w:footer="0" w:header="0"/>
          <w:type w:val="continuous"/>
        </w:sectPr>
      </w:pPr>
    </w:p>
    <w:p>
      <w:pPr>
        <w:spacing w:after="0" w:line="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2017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80" w:type="dxa"/>
            <w:vAlign w:val="bottom"/>
          </w:tcPr>
          <w:p>
            <w:pPr>
              <w:jc w:val="center"/>
              <w:ind w:left="97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80" w:type="dxa"/>
            <w:vAlign w:val="bottom"/>
          </w:tcPr>
          <w:p>
            <w:pPr>
              <w:jc w:val="center"/>
              <w:ind w:left="9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80" w:type="dxa"/>
            <w:vAlign w:val="bottom"/>
          </w:tcPr>
          <w:p>
            <w:pPr>
              <w:jc w:val="center"/>
              <w:ind w:left="992"/>
              <w:spacing w:after="0"/>
              <w:rPr>
                <w:sz w:val="20"/>
                <w:szCs w:val="20"/>
                <w:color w:val="auto"/>
              </w:rPr>
            </w:pPr>
            <w:r>
              <w:rPr>
                <w:rFonts w:ascii="Arial" w:cs="Arial" w:eastAsia="Arial" w:hAnsi="Arial"/>
                <w:sz w:val="18"/>
                <w:szCs w:val="18"/>
                <w:color w:val="auto"/>
                <w:w w:val="86"/>
              </w:rPr>
              <w:t>(Dollars in Thousands except Share and Per Share Data)</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2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10,251</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178,104</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152,056</w:t>
            </w:r>
          </w:p>
        </w:tc>
        <w:tc>
          <w:tcPr>
            <w:tcW w:w="0" w:type="dxa"/>
            <w:vAlign w:val="bottom"/>
          </w:tcPr>
          <w:p>
            <w:pPr>
              <w:spacing w:after="0"/>
              <w:rPr>
                <w:sz w:val="1"/>
                <w:szCs w:val="1"/>
                <w:color w:val="auto"/>
              </w:rPr>
            </w:pPr>
          </w:p>
        </w:tc>
      </w:tr>
      <w:tr>
        <w:trPr>
          <w:trHeight w:val="237"/>
        </w:trPr>
        <w:tc>
          <w:tcPr>
            <w:tcW w:w="8820" w:type="dxa"/>
            <w:vAlign w:val="bottom"/>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10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199,582</w:t>
            </w:r>
          </w:p>
        </w:tc>
        <w:tc>
          <w:tcPr>
            <w:tcW w:w="28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bottom w:val="single" w:sz="8" w:color="auto"/>
            </w:tcBorders>
            <w:shd w:val="clear" w:color="auto" w:fill="C0C0C0"/>
          </w:tcPr>
          <w:p>
            <w:pPr>
              <w:spacing w:after="0"/>
              <w:rPr>
                <w:sz w:val="21"/>
                <w:szCs w:val="21"/>
                <w:color w:val="auto"/>
              </w:rPr>
            </w:pPr>
          </w:p>
        </w:tc>
        <w:tc>
          <w:tcPr>
            <w:tcW w:w="9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228,110</w:t>
            </w:r>
          </w:p>
        </w:tc>
        <w:tc>
          <w:tcPr>
            <w:tcW w:w="0" w:type="dxa"/>
            <w:vAlign w:val="bottom"/>
          </w:tcPr>
          <w:p>
            <w:pPr>
              <w:spacing w:after="0"/>
              <w:rPr>
                <w:sz w:val="1"/>
                <w:szCs w:val="1"/>
                <w:color w:val="auto"/>
              </w:rPr>
            </w:pPr>
          </w:p>
        </w:tc>
      </w:tr>
      <w:tr>
        <w:trPr>
          <w:trHeight w:val="221"/>
        </w:trPr>
        <w:tc>
          <w:tcPr>
            <w:tcW w:w="8820" w:type="dxa"/>
            <w:vAlign w:val="bottom"/>
            <w:gridSpan w:val="4"/>
          </w:tcPr>
          <w:p>
            <w:pPr>
              <w:spacing w:after="0"/>
              <w:rPr>
                <w:sz w:val="20"/>
                <w:szCs w:val="20"/>
                <w:color w:val="auto"/>
              </w:rPr>
            </w:pPr>
            <w:r>
              <w:rPr>
                <w:rFonts w:ascii="Arial" w:cs="Arial" w:eastAsia="Arial" w:hAnsi="Arial"/>
                <w:sz w:val="18"/>
                <w:szCs w:val="18"/>
                <w:color w:val="auto"/>
              </w:rPr>
              <w:t>Securities available-for-sale, at fair value</w:t>
            </w:r>
          </w:p>
        </w:tc>
        <w:tc>
          <w:tcPr>
            <w:tcW w:w="1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454,981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470,523</w:t>
            </w:r>
          </w:p>
        </w:tc>
        <w:tc>
          <w:tcPr>
            <w:tcW w:w="0" w:type="dxa"/>
            <w:vAlign w:val="bottom"/>
          </w:tcPr>
          <w:p>
            <w:pPr>
              <w:spacing w:after="0"/>
              <w:rPr>
                <w:sz w:val="1"/>
                <w:szCs w:val="1"/>
                <w:color w:val="auto"/>
              </w:rPr>
            </w:pPr>
          </w:p>
        </w:tc>
      </w:tr>
      <w:tr>
        <w:trPr>
          <w:trHeight w:val="259"/>
        </w:trPr>
        <w:tc>
          <w:tcPr>
            <w:tcW w:w="7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702,000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686,231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10,210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80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Loans, net</w:t>
            </w: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691,790</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676,026</w:t>
            </w:r>
          </w:p>
        </w:tc>
        <w:tc>
          <w:tcPr>
            <w:tcW w:w="0" w:type="dxa"/>
            <w:vAlign w:val="bottom"/>
          </w:tcPr>
          <w:p>
            <w:pPr>
              <w:spacing w:after="0"/>
              <w:rPr>
                <w:sz w:val="1"/>
                <w:szCs w:val="1"/>
                <w:color w:val="auto"/>
              </w:rPr>
            </w:pPr>
          </w:p>
        </w:tc>
      </w:tr>
      <w:tr>
        <w:trPr>
          <w:trHeight w:val="229"/>
        </w:trPr>
        <w:tc>
          <w:tcPr>
            <w:tcW w:w="882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Investment in bank-owned life insurance</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17,040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35"/>
        </w:trPr>
        <w:tc>
          <w:tcPr>
            <w:tcW w:w="882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157,557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139,103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12,569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35"/>
        </w:trPr>
        <w:tc>
          <w:tcPr>
            <w:tcW w:w="882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93,386</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gridSpan w:val="3"/>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1,650,802</w:t>
            </w:r>
          </w:p>
        </w:tc>
        <w:tc>
          <w:tcPr>
            <w:tcW w:w="280" w:type="dxa"/>
            <w:vAlign w:val="bottom"/>
          </w:tcPr>
          <w:p>
            <w:pPr>
              <w:spacing w:after="0"/>
              <w:rPr>
                <w:sz w:val="21"/>
                <w:szCs w:val="21"/>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2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gridSpan w:val="3"/>
          </w:tcPr>
          <w:p>
            <w:pPr>
              <w:ind w:left="260"/>
              <w:spacing w:after="0"/>
              <w:rPr>
                <w:sz w:val="20"/>
                <w:szCs w:val="20"/>
                <w:color w:val="auto"/>
              </w:rPr>
            </w:pPr>
            <w:r>
              <w:rPr>
                <w:rFonts w:ascii="Arial" w:cs="Arial" w:eastAsia="Arial" w:hAnsi="Arial"/>
                <w:sz w:val="18"/>
                <w:szCs w:val="18"/>
                <w:color w:val="auto"/>
              </w:rPr>
              <w:t>Noninterest-bearing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257,915</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281,541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ind w:left="260"/>
              <w:spacing w:after="0"/>
              <w:rPr>
                <w:sz w:val="20"/>
                <w:szCs w:val="20"/>
                <w:color w:val="auto"/>
              </w:rPr>
            </w:pPr>
            <w:r>
              <w:rPr>
                <w:rFonts w:ascii="Arial" w:cs="Arial" w:eastAsia="Arial" w:hAnsi="Arial"/>
                <w:sz w:val="18"/>
                <w:szCs w:val="18"/>
                <w:color w:val="auto"/>
              </w:rPr>
              <w:t>Interest-bearing</w:t>
            </w: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381,328</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396,547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639,243</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678,088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747,455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715,888</w:t>
            </w:r>
          </w:p>
        </w:tc>
        <w:tc>
          <w:tcPr>
            <w:tcW w:w="0" w:type="dxa"/>
            <w:vAlign w:val="bottom"/>
          </w:tcPr>
          <w:p>
            <w:pPr>
              <w:spacing w:after="0"/>
              <w:rPr>
                <w:sz w:val="1"/>
                <w:szCs w:val="1"/>
                <w:color w:val="auto"/>
              </w:rPr>
            </w:pPr>
          </w:p>
        </w:tc>
      </w:tr>
      <w:tr>
        <w:trPr>
          <w:trHeight w:val="237"/>
        </w:trPr>
        <w:tc>
          <w:tcPr>
            <w:tcW w:w="882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41,682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10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1,428,380</w:t>
            </w:r>
          </w:p>
        </w:tc>
        <w:tc>
          <w:tcPr>
            <w:tcW w:w="28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bottom w:val="single" w:sz="8" w:color="auto"/>
            </w:tcBorders>
            <w:shd w:val="clear" w:color="auto" w:fill="C0C0C0"/>
          </w:tcPr>
          <w:p>
            <w:pPr>
              <w:spacing w:after="0"/>
              <w:rPr>
                <w:sz w:val="21"/>
                <w:szCs w:val="21"/>
                <w:color w:val="auto"/>
              </w:rPr>
            </w:pPr>
          </w:p>
        </w:tc>
        <w:tc>
          <w:tcPr>
            <w:tcW w:w="9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1,432,121</w:t>
            </w:r>
          </w:p>
        </w:tc>
        <w:tc>
          <w:tcPr>
            <w:tcW w:w="0" w:type="dxa"/>
            <w:vAlign w:val="bottom"/>
          </w:tcPr>
          <w:p>
            <w:pPr>
              <w:spacing w:after="0"/>
              <w:rPr>
                <w:sz w:val="1"/>
                <w:szCs w:val="1"/>
                <w:color w:val="auto"/>
              </w:rPr>
            </w:pPr>
          </w:p>
        </w:tc>
      </w:tr>
      <w:tr>
        <w:trPr>
          <w:trHeight w:val="412"/>
        </w:trPr>
        <w:tc>
          <w:tcPr>
            <w:tcW w:w="882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12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820" w:type="dxa"/>
            <w:vAlign w:val="bottom"/>
            <w:gridSpan w:val="4"/>
          </w:tcPr>
          <w:p>
            <w:pPr>
              <w:spacing w:after="0"/>
              <w:rPr>
                <w:sz w:val="20"/>
                <w:szCs w:val="20"/>
                <w:color w:val="auto"/>
              </w:rPr>
            </w:pPr>
            <w:r>
              <w:rPr>
                <w:rFonts w:ascii="Arial" w:cs="Arial" w:eastAsia="Arial" w:hAnsi="Arial"/>
                <w:sz w:val="18"/>
                <w:szCs w:val="18"/>
                <w:color w:val="auto"/>
                <w:w w:val="90"/>
              </w:rPr>
              <w:t>Common stock, par value $.50 per share; 40,000,000 shares authorized and 13,047,858 shares issued at March 31, 2018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tcPr>
          <w:p>
            <w:pPr>
              <w:ind w:left="260"/>
              <w:spacing w:after="0"/>
              <w:rPr>
                <w:sz w:val="20"/>
                <w:szCs w:val="20"/>
                <w:color w:val="auto"/>
              </w:rPr>
            </w:pPr>
            <w:r>
              <w:rPr>
                <w:rFonts w:ascii="Arial" w:cs="Arial" w:eastAsia="Arial" w:hAnsi="Arial"/>
                <w:sz w:val="18"/>
                <w:szCs w:val="18"/>
                <w:color w:val="auto"/>
              </w:rPr>
              <w:t>and December 31, 2017</w:t>
            </w:r>
          </w:p>
        </w:tc>
        <w:tc>
          <w:tcPr>
            <w:tcW w:w="1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204,479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204,631</w:t>
            </w:r>
          </w:p>
        </w:tc>
        <w:tc>
          <w:tcPr>
            <w:tcW w:w="0" w:type="dxa"/>
            <w:vAlign w:val="bottom"/>
          </w:tcPr>
          <w:p>
            <w:pPr>
              <w:spacing w:after="0"/>
              <w:rPr>
                <w:sz w:val="1"/>
                <w:szCs w:val="1"/>
                <w:color w:val="auto"/>
              </w:rPr>
            </w:pPr>
          </w:p>
        </w:tc>
      </w:tr>
      <w:tr>
        <w:trPr>
          <w:trHeight w:val="235"/>
        </w:trPr>
        <w:tc>
          <w:tcPr>
            <w:tcW w:w="882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64,458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95"/>
              </w:rPr>
              <w:t>Common shares in treasury, at cost (760,193 shares at March 31, 2018 and 760,962 shares at December 31, 2017)</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(32,301)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37"/>
        </w:trPr>
        <w:tc>
          <w:tcPr>
            <w:tcW w:w="882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10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222,422</w:t>
            </w:r>
          </w:p>
        </w:tc>
        <w:tc>
          <w:tcPr>
            <w:tcW w:w="28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auto"/>
              <w:bottom w:val="single" w:sz="8" w:color="auto"/>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225,088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60" w:type="dxa"/>
            <w:vAlign w:val="bottom"/>
            <w:gridSpan w:val="2"/>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1,650,802</w:t>
            </w:r>
          </w:p>
        </w:tc>
        <w:tc>
          <w:tcPr>
            <w:tcW w:w="280" w:type="dxa"/>
            <w:vAlign w:val="bottom"/>
          </w:tcPr>
          <w:p>
            <w:pPr>
              <w:spacing w:after="0"/>
              <w:rPr>
                <w:sz w:val="21"/>
                <w:szCs w:val="21"/>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24,827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22,289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260" w:type="dxa"/>
            <w:vAlign w:val="bottom"/>
          </w:tcPr>
          <w:p>
            <w:pPr>
              <w:ind w:left="520"/>
              <w:spacing w:after="0"/>
              <w:rPr>
                <w:sz w:val="20"/>
                <w:szCs w:val="20"/>
                <w:color w:val="auto"/>
              </w:rPr>
            </w:pPr>
            <w:r>
              <w:rPr>
                <w:rFonts w:ascii="Arial" w:cs="Arial" w:eastAsia="Arial" w:hAnsi="Arial"/>
                <w:sz w:val="18"/>
                <w:szCs w:val="18"/>
                <w:color w:val="auto"/>
              </w:rPr>
              <w:t>Taxable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2,565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7"/>
        </w:trPr>
        <w:tc>
          <w:tcPr>
            <w:tcW w:w="928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6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11,288</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2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92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Borders>
              <w:bottom w:val="single" w:sz="8" w:color="C0C0C0"/>
            </w:tcBorders>
          </w:tcPr>
          <w:p>
            <w:pPr>
              <w:ind w:left="800"/>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10,609</w:t>
            </w:r>
          </w:p>
        </w:tc>
        <w:tc>
          <w:tcPr>
            <w:tcW w:w="260" w:type="dxa"/>
            <w:vAlign w:val="bottom"/>
            <w:tcBorders>
              <w:bottom w:val="single" w:sz="8" w:color="C0C0C0"/>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shd w:val="clear" w:color="auto" w:fill="C0C0C0"/>
          </w:tcPr>
          <w:p>
            <w:pPr>
              <w:ind w:left="800"/>
              <w:spacing w:after="0"/>
              <w:rPr>
                <w:sz w:val="20"/>
                <w:szCs w:val="20"/>
                <w:color w:val="auto"/>
              </w:rPr>
            </w:pPr>
            <w:r>
              <w:rPr>
                <w:rFonts w:ascii="Arial" w:cs="Arial" w:eastAsia="Arial" w:hAnsi="Arial"/>
                <w:sz w:val="18"/>
                <w:szCs w:val="18"/>
                <w:color w:val="auto"/>
              </w:rPr>
              <w:t>Total net revenue</w:t>
            </w: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35,983</w:t>
            </w:r>
          </w:p>
        </w:tc>
        <w:tc>
          <w:tcPr>
            <w:tcW w:w="2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32,290</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92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92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20,382</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18,799</w:t>
            </w: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1,308</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Other operating expense</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3,528</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26,182</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6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9,801</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shd w:val="clear" w:color="auto" w:fill="C0C0C0"/>
          </w:tcPr>
          <w:p>
            <w:pPr>
              <w:ind w:left="80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8,092</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6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7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6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2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6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w w:val="92"/>
              </w:rPr>
              <w:t>Three Months Ended</w:t>
            </w:r>
          </w:p>
        </w:tc>
      </w:tr>
      <w:tr>
        <w:trPr>
          <w:trHeight w:val="266"/>
        </w:trPr>
        <w:tc>
          <w:tcPr>
            <w:tcW w:w="94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3"/>
                <w:szCs w:val="23"/>
                <w:color w:val="auto"/>
              </w:rPr>
            </w:pPr>
          </w:p>
        </w:tc>
      </w:tr>
      <w:tr>
        <w:trPr>
          <w:trHeight w:val="250"/>
        </w:trPr>
        <w:tc>
          <w:tcPr>
            <w:tcW w:w="9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2017</w:t>
            </w:r>
          </w:p>
        </w:tc>
      </w:tr>
      <w:tr>
        <w:trPr>
          <w:trHeight w:val="243"/>
        </w:trPr>
        <w:tc>
          <w:tcPr>
            <w:tcW w:w="94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94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8,092</w:t>
            </w:r>
          </w:p>
        </w:tc>
        <w:tc>
          <w:tcPr>
            <w:tcW w:w="28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6,307</w:t>
            </w:r>
          </w:p>
        </w:tc>
      </w:tr>
      <w:tr>
        <w:trPr>
          <w:trHeight w:val="251"/>
        </w:trPr>
        <w:tc>
          <w:tcPr>
            <w:tcW w:w="944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9440" w:type="dxa"/>
            <w:vAlign w:val="bottom"/>
          </w:tcPr>
          <w:p>
            <w:pPr>
              <w:ind w:left="280"/>
              <w:spacing w:after="0"/>
              <w:rPr>
                <w:sz w:val="20"/>
                <w:szCs w:val="20"/>
                <w:color w:val="auto"/>
              </w:rPr>
            </w:pPr>
            <w:r>
              <w:rPr>
                <w:rFonts w:ascii="Arial" w:cs="Arial" w:eastAsia="Arial" w:hAnsi="Arial"/>
                <w:sz w:val="18"/>
                <w:szCs w:val="18"/>
                <w:color w:val="auto"/>
              </w:rPr>
              <w:t>Net unrealized (loss) gain on securities available-for-sale</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2,513</w:t>
            </w:r>
          </w:p>
        </w:tc>
      </w:tr>
      <w:tr>
        <w:trPr>
          <w:trHeight w:val="251"/>
        </w:trPr>
        <w:tc>
          <w:tcPr>
            <w:tcW w:w="94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2,326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w:t>
            </w:r>
          </w:p>
        </w:tc>
      </w:tr>
      <w:tr>
        <w:trPr>
          <w:trHeight w:val="235"/>
        </w:trPr>
        <w:tc>
          <w:tcPr>
            <w:tcW w:w="9440" w:type="dxa"/>
            <w:vAlign w:val="bottom"/>
          </w:tcPr>
          <w:p>
            <w:pPr>
              <w:ind w:left="280"/>
              <w:spacing w:after="0"/>
              <w:rPr>
                <w:sz w:val="20"/>
                <w:szCs w:val="20"/>
                <w:color w:val="auto"/>
              </w:rPr>
            </w:pPr>
            <w:r>
              <w:rPr>
                <w:rFonts w:ascii="Arial" w:cs="Arial" w:eastAsia="Arial" w:hAnsi="Arial"/>
                <w:sz w:val="18"/>
                <w:szCs w:val="18"/>
                <w:color w:val="auto"/>
              </w:rPr>
              <w:t>Reclassification adjustments for gains included in net income</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94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44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r>
      <w:tr>
        <w:trPr>
          <w:trHeight w:val="250"/>
        </w:trPr>
        <w:tc>
          <w:tcPr>
            <w:tcW w:w="94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673</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7,895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8,092</w:t>
            </w:r>
          </w:p>
        </w:tc>
        <w:tc>
          <w:tcPr>
            <w:tcW w:w="26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3,018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gains on sales of securities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income tax liability</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1,352</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1,231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Decrease in accounts receivable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6,410</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Other operating activities, net</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26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18,159</w:t>
            </w:r>
          </w:p>
        </w:tc>
        <w:tc>
          <w:tcPr>
            <w:tcW w:w="2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8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9,543</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11,030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(16,752)</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(52,599)</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Net increase in loans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Increase in payments in excess of funding</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(18,454)</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(16,428)</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(31,784)</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8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noninterest-bearing demand deposits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(23,626)</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time deposits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Net increase (decrease) in accounts and drafts payable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27,825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(19,064)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(2,948)</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(14,903)</w:t>
            </w:r>
          </w:p>
        </w:tc>
        <w:tc>
          <w:tcPr>
            <w:tcW w:w="26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(28,528)</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(123,173)</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228,110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266,743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199,582</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143,570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300" w:type="dxa"/>
            <w:vAlign w:val="bottom"/>
            <w:tcBorders>
              <w:top w:val="single" w:sz="8" w:color="auto"/>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Cash paid for interest</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0C0C0"/>
          </w:tcPr>
          <w:p>
            <w:pPr>
              <w:spacing w:after="0"/>
              <w:rPr>
                <w:sz w:val="21"/>
                <w:szCs w:val="21"/>
                <w:color w:val="auto"/>
              </w:rPr>
            </w:pP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have been restated to give effect to the 10% stock dividend issued on December 15, 2017.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2017.</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2018, the Company adopted accounting standard ASC 606, Revenue from Contracts with Customers,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ASC 606 are presented within fee revenue and other income in the Consolidated Statements of Income and are recognized as revenue as the obligation to the customer is satisfied. Services within the scope of ASC 606 include transportation and facility payment and processing fees, bank service fees, and other real estate owned (“OREO”).</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Transportation and facility payment and processing fees </w:t>
      </w:r>
      <w:r>
        <w:rPr>
          <w:rFonts w:ascii="Arial" w:cs="Arial" w:eastAsia="Arial" w:hAnsi="Arial"/>
          <w:sz w:val="18"/>
          <w:szCs w:val="18"/>
          <w:color w:val="auto"/>
        </w:rPr>
        <w:t>– The Company earns fees on a per-item basis for the services rendered on behalf of customers.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over the course of a month, representing the period over with the performance obligation is satisfied.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Bank service fees </w:t>
      </w:r>
      <w:r>
        <w:rPr>
          <w:rFonts w:ascii="Arial" w:cs="Arial" w:eastAsia="Arial" w:hAnsi="Arial"/>
          <w:sz w:val="18"/>
          <w:szCs w:val="18"/>
          <w:color w:val="auto"/>
        </w:rPr>
        <w:t>– Revenue from service fees consists of service charges and fees on deposit accounts under depository agreements with customers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deposited funds and, when applicable, pay interest on deposits. Service charges on deposit accounts are primarily all charges that are recognized on a monthly basis representing the period over which the performance obligation is satisfied.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 to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and substantially all of the consideration for the transfer of property is received.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68"/>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2018</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2017</w:t>
            </w:r>
          </w:p>
        </w:tc>
        <w:tc>
          <w:tcPr>
            <w:tcW w:w="560" w:type="dxa"/>
            <w:vAlign w:val="bottom"/>
            <w:tcBorders>
              <w:bottom w:val="single" w:sz="8" w:color="auto"/>
            </w:tcBorders>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Gross Carrying</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Accumulated</w:t>
            </w:r>
          </w:p>
        </w:tc>
      </w:tr>
      <w:tr>
        <w:trPr>
          <w:trHeight w:val="265"/>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3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43"/>
        </w:trPr>
        <w:tc>
          <w:tcPr>
            <w:tcW w:w="504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04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8"/>
              </w:rPr>
              <w:t>(2,795)</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7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(2,702)</w:t>
            </w:r>
          </w:p>
        </w:tc>
      </w:tr>
      <w:tr>
        <w:trPr>
          <w:trHeight w:val="251"/>
        </w:trPr>
        <w:tc>
          <w:tcPr>
            <w:tcW w:w="5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w:t>
            </w: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7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504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6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51"/>
        </w:trPr>
        <w:tc>
          <w:tcPr>
            <w:tcW w:w="5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6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7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r>
      <w:tr>
        <w:trPr>
          <w:trHeight w:val="235"/>
        </w:trPr>
        <w:tc>
          <w:tcPr>
            <w:tcW w:w="5040" w:type="dxa"/>
            <w:vAlign w:val="bottom"/>
          </w:tcPr>
          <w:p>
            <w:pPr>
              <w:ind w:left="2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51"/>
        </w:trPr>
        <w:tc>
          <w:tcPr>
            <w:tcW w:w="504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311"/>
        </w:trPr>
        <w:tc>
          <w:tcPr>
            <w:tcW w:w="504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50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auto"/>
            </w:tcBorders>
            <w:gridSpan w:val="2"/>
            <w:shd w:val="clear" w:color="auto" w:fill="C0C0C0"/>
          </w:tcPr>
          <w:p>
            <w:pPr>
              <w:ind w:left="9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6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98"/>
              </w:rPr>
              <w:t>(3,768)</w:t>
            </w:r>
          </w:p>
        </w:tc>
        <w:tc>
          <w:tcPr>
            <w:tcW w:w="34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70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(3,657)</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Amortization through December 31, 2001 prior to adoption of FASB ASC 350.</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$110,000 and $99,000 for the three-month periods ended March 31, 2018 and 2017, respectively. Estimated annual amortization of intangibles is as follows: $442,000 in 2018, and $412,000 in 2019, $406,000 each of 2020 and 2021, and $88,000 in 2022.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months ended March 31, 2018 and 2017. The calculations of basic and diluted earnings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Three Months Ended</w:t>
            </w:r>
          </w:p>
        </w:tc>
      </w:tr>
      <w:tr>
        <w:trPr>
          <w:trHeight w:val="266"/>
        </w:trPr>
        <w:tc>
          <w:tcPr>
            <w:tcW w:w="8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3"/>
                <w:szCs w:val="23"/>
                <w:color w:val="auto"/>
              </w:rPr>
            </w:pP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8,092</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6,307</w:t>
            </w:r>
          </w:p>
        </w:tc>
      </w:tr>
      <w:tr>
        <w:trPr>
          <w:trHeight w:val="251"/>
        </w:trPr>
        <w:tc>
          <w:tcPr>
            <w:tcW w:w="89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12,233,016</w:t>
            </w: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12,252,461</w:t>
            </w:r>
          </w:p>
        </w:tc>
      </w:tr>
      <w:tr>
        <w:trPr>
          <w:trHeight w:val="237"/>
        </w:trPr>
        <w:tc>
          <w:tcPr>
            <w:tcW w:w="89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37"/>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35"/>
        </w:trPr>
        <w:tc>
          <w:tcPr>
            <w:tcW w:w="8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8,092</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6,307</w:t>
            </w:r>
          </w:p>
        </w:tc>
      </w:tr>
      <w:tr>
        <w:trPr>
          <w:trHeight w:val="251"/>
        </w:trPr>
        <w:tc>
          <w:tcPr>
            <w:tcW w:w="89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12,233,016</w:t>
            </w: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12,252,461</w:t>
            </w:r>
          </w:p>
        </w:tc>
      </w:tr>
      <w:tr>
        <w:trPr>
          <w:trHeight w:val="237"/>
        </w:trPr>
        <w:tc>
          <w:tcPr>
            <w:tcW w:w="8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189,084</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179,341</w:t>
            </w:r>
          </w:p>
        </w:tc>
      </w:tr>
      <w:tr>
        <w:trPr>
          <w:trHeight w:val="243"/>
        </w:trPr>
        <w:tc>
          <w:tcPr>
            <w:tcW w:w="89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 assuming dilution</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12,422,100</w:t>
            </w:r>
          </w:p>
        </w:tc>
        <w:tc>
          <w:tcPr>
            <w:tcW w:w="4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12,431,802</w:t>
            </w:r>
          </w:p>
        </w:tc>
      </w:tr>
      <w:tr>
        <w:trPr>
          <w:trHeight w:val="250"/>
        </w:trPr>
        <w:tc>
          <w:tcPr>
            <w:tcW w:w="89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on October 24, 2017, the program provides that the Company may repurchase up to an aggregate of 500,000 shares of common stock and has no expiration date. The Company repurchased 9,547 shares during the three-month period ended March 31, 2018 and no shares during the three-month period ended March 31, 2017. As of March 31, 2018, 490,453 shares remained available for repurchase under the program. Repurchases may be made in the open market or through negotiated transactions from time to time depending on market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churches as well as supporting the banking needs of the Information Services segment.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accounting policies for segments are the same as those described in the summary of significant accounting policies in the Company’s Annual Report on Form 10-K for the year ended December 31, 2017. Management evaluates segment performance based on tax-equivalized* pre-tax income after allocations for corporate expenses. Transactions between segments are accounted for at what management believes to be fair value.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Funding sources represent average balances and deposits generated by Information Services and Banking Services and there is no allocation methodology used.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interest income is a function of the relative share of average funding sources generated by each segment multiplied by the following rates:</w:t>
      </w:r>
    </w:p>
    <w:p>
      <w:pPr>
        <w:spacing w:after="0" w:line="242" w:lineRule="exact"/>
        <w:rPr>
          <w:sz w:val="20"/>
          <w:szCs w:val="20"/>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15" w:lineRule="exact"/>
        <w:rPr>
          <w:rFonts w:ascii="Arial" w:cs="Arial" w:eastAsia="Arial" w:hAnsi="Arial"/>
          <w:sz w:val="17"/>
          <w:szCs w:val="17"/>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Banking Services – a variable rate that is based upon the overall performance of the Company’s earning assets.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Any difference between total segment interest income and overall total Company interest income is included in Corporate, Eliminations, and Other.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Corporate,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4600" w:type="dxa"/>
            <w:vAlign w:val="bottom"/>
          </w:tcPr>
          <w:p>
            <w:pPr>
              <w:spacing w:after="0"/>
              <w:rPr>
                <w:sz w:val="21"/>
                <w:szCs w:val="21"/>
                <w:color w:val="auto"/>
              </w:rPr>
            </w:pPr>
          </w:p>
        </w:tc>
        <w:tc>
          <w:tcPr>
            <w:tcW w:w="31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Banking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Eliminations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Services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6"/>
              </w:rPr>
              <w:t>Services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1"/>
              </w:rPr>
              <w:t>and Other</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March 31, 2018</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24,872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126</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25,374</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5,516</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5,750</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709</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11,975</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(462)</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6,734</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3,425</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10,488</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1,885</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878,199</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858,283</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(85,680)</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1,650,802</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644,909</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595,837</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1,240,746</w:t>
            </w:r>
          </w:p>
        </w:tc>
      </w:tr>
      <w:tr>
        <w:trPr>
          <w:trHeight w:val="251"/>
        </w:trPr>
        <w:tc>
          <w:tcPr>
            <w:tcW w:w="46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March 31, 2017</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123</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22,771</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4,728</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5,886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806</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11,420</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5,455</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3,457</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9,393</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11,454</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11,590</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747,301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715,753</w:t>
            </w:r>
          </w:p>
        </w:tc>
        <w:tc>
          <w:tcPr>
            <w:tcW w:w="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(16,048)</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1,447,006</w:t>
            </w:r>
          </w:p>
        </w:tc>
      </w:tr>
      <w:tr>
        <w:trPr>
          <w:trHeight w:val="228"/>
        </w:trPr>
        <w:tc>
          <w:tcPr>
            <w:tcW w:w="460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21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564,376</w:t>
            </w: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600,054</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1,164,430</w:t>
            </w:r>
          </w:p>
        </w:tc>
      </w:tr>
    </w:tbl>
    <w:p>
      <w:pPr>
        <w:spacing w:after="0" w:line="45" w:lineRule="exact"/>
        <w:rPr>
          <w:sz w:val="20"/>
          <w:szCs w:val="20"/>
          <w:color w:val="auto"/>
        </w:rPr>
      </w:pPr>
    </w:p>
    <w:p>
      <w:pPr>
        <w:ind w:right="20" w:firstLine="8"/>
        <w:spacing w:after="0" w:line="239" w:lineRule="auto"/>
        <w:tabs>
          <w:tab w:leader="none" w:pos="104"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for 2018 and 35% for 2017. The tax-equivalent adjustment was approximately $687,000 and $1,421,000 for the First Quarter of 2018 and 2017, respectively.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Note 6 – Loans by Type</w:t>
            </w:r>
          </w:p>
        </w:tc>
        <w:tc>
          <w:tcPr>
            <w:tcW w:w="5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60" w:type="dxa"/>
            <w:vAlign w:val="bottom"/>
          </w:tcPr>
          <w:p>
            <w:pPr>
              <w:spacing w:after="0"/>
              <w:rPr>
                <w:sz w:val="24"/>
                <w:szCs w:val="24"/>
                <w:color w:val="auto"/>
              </w:rPr>
            </w:pPr>
          </w:p>
        </w:tc>
        <w:tc>
          <w:tcPr>
            <w:tcW w:w="58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r>
      <w:tr>
        <w:trPr>
          <w:trHeight w:val="26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0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3"/>
                <w:szCs w:val="23"/>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50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256,381</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c>
          <w:tcPr>
            <w:tcW w:w="20" w:type="dxa"/>
            <w:vAlign w:val="bottom"/>
          </w:tcPr>
          <w:p>
            <w:pPr>
              <w:spacing w:after="0"/>
              <w:rPr>
                <w:sz w:val="21"/>
                <w:szCs w:val="2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Real estate</w:t>
            </w:r>
          </w:p>
        </w:tc>
        <w:tc>
          <w:tcPr>
            <w:tcW w:w="5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50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820"/>
              <w:spacing w:after="0"/>
              <w:rPr>
                <w:sz w:val="20"/>
                <w:szCs w:val="20"/>
                <w:color w:val="auto"/>
              </w:rPr>
            </w:pPr>
            <w:r>
              <w:rPr>
                <w:rFonts w:ascii="Arial" w:cs="Arial" w:eastAsia="Arial" w:hAnsi="Arial"/>
                <w:sz w:val="18"/>
                <w:szCs w:val="18"/>
                <w:color w:val="auto"/>
              </w:rPr>
              <w:t>Mortgage</w:t>
            </w:r>
          </w:p>
        </w:tc>
        <w:tc>
          <w:tcPr>
            <w:tcW w:w="50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90,742</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94,675</w:t>
            </w:r>
          </w:p>
        </w:tc>
      </w:tr>
      <w:tr>
        <w:trPr>
          <w:trHeight w:val="251"/>
        </w:trPr>
        <w:tc>
          <w:tcPr>
            <w:tcW w:w="4360" w:type="dxa"/>
            <w:vAlign w:val="bottom"/>
            <w:shd w:val="clear" w:color="auto" w:fill="C0C0C0"/>
          </w:tcPr>
          <w:p>
            <w:pPr>
              <w:ind w:left="820"/>
              <w:spacing w:after="0"/>
              <w:rPr>
                <w:sz w:val="20"/>
                <w:szCs w:val="20"/>
                <w:color w:val="auto"/>
              </w:rPr>
            </w:pPr>
            <w:r>
              <w:rPr>
                <w:rFonts w:ascii="Arial" w:cs="Arial" w:eastAsia="Arial" w:hAnsi="Arial"/>
                <w:sz w:val="18"/>
                <w:szCs w:val="18"/>
                <w:color w:val="auto"/>
              </w:rPr>
              <w:t>Construction</w:t>
            </w:r>
          </w:p>
        </w:tc>
        <w:tc>
          <w:tcPr>
            <w:tcW w:w="50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15,708</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21"/>
                <w:szCs w:val="21"/>
                <w:color w:val="auto"/>
              </w:rPr>
            </w:pP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5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50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307,654</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c>
          <w:tcPr>
            <w:tcW w:w="20" w:type="dxa"/>
            <w:vAlign w:val="bottom"/>
          </w:tcPr>
          <w:p>
            <w:pPr>
              <w:spacing w:after="0"/>
              <w:rPr>
                <w:sz w:val="21"/>
                <w:szCs w:val="21"/>
                <w:color w:val="auto"/>
              </w:rPr>
            </w:pPr>
          </w:p>
        </w:tc>
      </w:tr>
      <w:tr>
        <w:trPr>
          <w:trHeight w:val="235"/>
        </w:trPr>
        <w:tc>
          <w:tcPr>
            <w:tcW w:w="436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50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28,932</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25,948</w:t>
            </w:r>
          </w:p>
        </w:tc>
      </w:tr>
      <w:tr>
        <w:trPr>
          <w:trHeight w:val="251"/>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50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2,557</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21"/>
                <w:szCs w:val="2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50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250"/>
        </w:trPr>
        <w:tc>
          <w:tcPr>
            <w:tcW w:w="4360" w:type="dxa"/>
            <w:vAlign w:val="bottom"/>
            <w:tcBorders>
              <w:top w:val="single" w:sz="8" w:color="auto"/>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 loans</w:t>
            </w:r>
          </w:p>
        </w:tc>
        <w:tc>
          <w:tcPr>
            <w:tcW w:w="50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702,000</w:t>
            </w:r>
          </w:p>
        </w:tc>
        <w:tc>
          <w:tcPr>
            <w:tcW w:w="3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c>
          <w:tcPr>
            <w:tcW w:w="20" w:type="dxa"/>
            <w:vAlign w:val="bottom"/>
          </w:tcPr>
          <w:p>
            <w:pPr>
              <w:spacing w:after="0"/>
              <w:rPr>
                <w:sz w:val="21"/>
                <w:szCs w:val="21"/>
                <w:color w:val="auto"/>
              </w:rPr>
            </w:pPr>
          </w:p>
        </w:tc>
      </w:tr>
      <w:tr>
        <w:trPr>
          <w:trHeight w:val="430"/>
        </w:trPr>
        <w:tc>
          <w:tcPr>
            <w:tcW w:w="4360" w:type="dxa"/>
            <w:vAlign w:val="bottom"/>
          </w:tcPr>
          <w:p>
            <w:pPr>
              <w:spacing w:after="0"/>
              <w:rPr>
                <w:sz w:val="24"/>
                <w:szCs w:val="24"/>
                <w:color w:val="auto"/>
              </w:rPr>
            </w:pPr>
          </w:p>
        </w:tc>
        <w:tc>
          <w:tcPr>
            <w:tcW w:w="5000" w:type="dxa"/>
            <w:vAlign w:val="bottom"/>
          </w:tcPr>
          <w:p>
            <w:pPr>
              <w:jc w:val="right"/>
              <w:ind w:right="3452"/>
              <w:spacing w:after="0"/>
              <w:rPr>
                <w:sz w:val="20"/>
                <w:szCs w:val="20"/>
                <w:color w:val="auto"/>
              </w:rPr>
            </w:pPr>
            <w:r>
              <w:rPr>
                <w:rFonts w:ascii="Arial" w:cs="Arial" w:eastAsia="Arial" w:hAnsi="Arial"/>
                <w:sz w:val="18"/>
                <w:szCs w:val="18"/>
                <w:color w:val="auto"/>
              </w:rPr>
              <w:t>-9-</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presents the aging of loans by loan categories at March 31,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ind w:left="740"/>
              <w:spacing w:after="0"/>
              <w:rPr>
                <w:sz w:val="20"/>
                <w:szCs w:val="20"/>
                <w:color w:val="auto"/>
              </w:rPr>
            </w:pPr>
            <w:r>
              <w:rPr>
                <w:rFonts w:ascii="Arial" w:cs="Arial" w:eastAsia="Arial" w:hAnsi="Arial"/>
                <w:sz w:val="18"/>
                <w:szCs w:val="18"/>
                <w:b w:val="1"/>
                <w:bCs w:val="1"/>
                <w:color w:val="auto"/>
              </w:rPr>
              <w:t>Performing</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b w:val="1"/>
                <w:bCs w:val="1"/>
                <w:color w:val="auto"/>
              </w:rPr>
              <w:t>Nonperforming</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gridSpan w:val="2"/>
          </w:tcPr>
          <w:p>
            <w:pPr>
              <w:jc w:val="center"/>
              <w:ind w:right="52"/>
              <w:spacing w:after="0"/>
              <w:rPr>
                <w:sz w:val="20"/>
                <w:szCs w:val="20"/>
                <w:color w:val="auto"/>
              </w:rPr>
            </w:pPr>
            <w:r>
              <w:rPr>
                <w:rFonts w:ascii="Arial" w:cs="Arial" w:eastAsia="Arial" w:hAnsi="Arial"/>
                <w:sz w:val="18"/>
                <w:szCs w:val="18"/>
                <w:b w:val="1"/>
                <w:bCs w:val="1"/>
                <w:color w:val="auto"/>
                <w:w w:val="88"/>
              </w:rPr>
              <w:t>90 Days</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7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b w:val="1"/>
                <w:bCs w:val="1"/>
                <w:color w:val="auto"/>
              </w:rPr>
              <w:t>30-59</w:t>
            </w:r>
          </w:p>
        </w:tc>
        <w:tc>
          <w:tcPr>
            <w:tcW w:w="720" w:type="dxa"/>
            <w:vAlign w:val="bottom"/>
            <w:gridSpan w:val="2"/>
          </w:tcPr>
          <w:p>
            <w:pPr>
              <w:ind w:left="220"/>
              <w:spacing w:after="0"/>
              <w:rPr>
                <w:sz w:val="20"/>
                <w:szCs w:val="20"/>
                <w:color w:val="auto"/>
              </w:rPr>
            </w:pPr>
            <w:r>
              <w:rPr>
                <w:rFonts w:ascii="Arial" w:cs="Arial" w:eastAsia="Arial" w:hAnsi="Arial"/>
                <w:sz w:val="18"/>
                <w:szCs w:val="18"/>
                <w:b w:val="1"/>
                <w:bCs w:val="1"/>
                <w:color w:val="auto"/>
              </w:rPr>
              <w:t>60-89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21"/>
                <w:szCs w:val="21"/>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52"/>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Current</w:t>
            </w:r>
          </w:p>
        </w:tc>
        <w:tc>
          <w:tcPr>
            <w:tcW w:w="24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Days</w:t>
            </w:r>
          </w:p>
        </w:tc>
        <w:tc>
          <w:tcPr>
            <w:tcW w:w="22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b w:val="1"/>
                <w:bCs w:val="1"/>
                <w:color w:val="auto"/>
              </w:rPr>
              <w:t>Days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Over</w:t>
            </w:r>
          </w:p>
        </w:tc>
        <w:tc>
          <w:tcPr>
            <w:tcW w:w="2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accrual</w:t>
            </w: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37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March 31, 2018</w:t>
            </w:r>
          </w:p>
        </w:tc>
        <w:tc>
          <w:tcPr>
            <w:tcW w:w="18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256,381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256,381</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90,742</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90,742</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15,708</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15,708</w:t>
            </w: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307,654</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307,654</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28,932</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28,932</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2,557</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2,557</w:t>
            </w:r>
          </w:p>
        </w:tc>
      </w:tr>
      <w:tr>
        <w:trPr>
          <w:trHeight w:val="244"/>
        </w:trPr>
        <w:tc>
          <w:tcPr>
            <w:tcW w:w="3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702,000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702,000</w:t>
            </w:r>
          </w:p>
        </w:tc>
      </w:tr>
      <w:tr>
        <w:trPr>
          <w:trHeight w:val="243"/>
        </w:trPr>
        <w:tc>
          <w:tcPr>
            <w:tcW w:w="37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18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236,394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236,394</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94,675</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9,359</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9,359</w:t>
            </w: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316,073</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316,073</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25,948</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3,374</w:t>
            </w:r>
          </w:p>
        </w:tc>
        <w:tc>
          <w:tcPr>
            <w:tcW w:w="2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3,374</w:t>
            </w:r>
          </w:p>
        </w:tc>
      </w:tr>
      <w:tr>
        <w:trPr>
          <w:trHeight w:val="244"/>
        </w:trPr>
        <w:tc>
          <w:tcPr>
            <w:tcW w:w="3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686,231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686,231</w:t>
            </w:r>
          </w:p>
        </w:tc>
      </w:tr>
      <w:tr>
        <w:trPr>
          <w:trHeight w:val="430"/>
        </w:trPr>
        <w:tc>
          <w:tcPr>
            <w:tcW w:w="376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gridSpan w:val="3"/>
          </w:tcPr>
          <w:p>
            <w:pPr>
              <w:jc w:val="right"/>
              <w:ind w:right="712"/>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March 31, 2018 and December 31,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2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Nonperforming</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Subject to</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Loans Subject to</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4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20" w:type="dxa"/>
            <w:vAlign w:val="bottom"/>
          </w:tcPr>
          <w:p>
            <w:pPr>
              <w:jc w:val="center"/>
              <w:ind w:right="152"/>
              <w:spacing w:after="0"/>
              <w:rPr>
                <w:sz w:val="20"/>
                <w:szCs w:val="20"/>
                <w:color w:val="auto"/>
              </w:rPr>
            </w:pPr>
            <w:r>
              <w:rPr>
                <w:rFonts w:ascii="Arial" w:cs="Arial" w:eastAsia="Arial" w:hAnsi="Arial"/>
                <w:sz w:val="18"/>
                <w:szCs w:val="18"/>
                <w:b w:val="1"/>
                <w:bCs w:val="1"/>
                <w:color w:val="auto"/>
                <w:w w:val="93"/>
              </w:rPr>
              <w:t>Normal</w:t>
            </w:r>
          </w:p>
        </w:tc>
        <w:tc>
          <w:tcPr>
            <w:tcW w:w="26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to Special</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2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80" w:type="dxa"/>
            <w:vAlign w:val="bottom"/>
            <w:tcBorders>
              <w:bottom w:val="single" w:sz="8" w:color="auto"/>
            </w:tcBorders>
            <w:gridSpan w:val="2"/>
          </w:tcPr>
          <w:p>
            <w:pPr>
              <w:jc w:val="center"/>
              <w:ind w:left="193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5"/>
              </w:rPr>
              <w:t>Total Loans</w:t>
            </w:r>
          </w:p>
        </w:tc>
      </w:tr>
      <w:tr>
        <w:trPr>
          <w:trHeight w:val="237"/>
        </w:trPr>
        <w:tc>
          <w:tcPr>
            <w:tcW w:w="41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March 31, 2018</w:t>
            </w:r>
          </w:p>
        </w:tc>
        <w:tc>
          <w:tcPr>
            <w:tcW w:w="22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254,932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1,449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256,381</w:t>
            </w:r>
          </w:p>
        </w:tc>
      </w:tr>
      <w:tr>
        <w:trPr>
          <w:trHeight w:val="250"/>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89,882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90,742</w:t>
            </w:r>
          </w:p>
        </w:tc>
      </w:tr>
      <w:tr>
        <w:trPr>
          <w:trHeight w:val="236"/>
        </w:trPr>
        <w:tc>
          <w:tcPr>
            <w:tcW w:w="41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15,708</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15,708</w:t>
            </w:r>
          </w:p>
        </w:tc>
      </w:tr>
      <w:tr>
        <w:trPr>
          <w:trHeight w:val="250"/>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6"/>
        </w:trPr>
        <w:tc>
          <w:tcPr>
            <w:tcW w:w="41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307,559</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307,654</w:t>
            </w:r>
          </w:p>
        </w:tc>
      </w:tr>
      <w:tr>
        <w:trPr>
          <w:trHeight w:val="250"/>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28,932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28,932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2,557</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244"/>
        </w:trPr>
        <w:tc>
          <w:tcPr>
            <w:tcW w:w="4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699,596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2,404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702,000</w:t>
            </w: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234,271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2,123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236,394</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93,788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9,359</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51"/>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316,042</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316,073</w:t>
            </w: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25,948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3,374</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44"/>
        </w:trPr>
        <w:tc>
          <w:tcPr>
            <w:tcW w:w="4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r>
      <w:tr>
        <w:trPr>
          <w:trHeight w:val="228"/>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683,190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3,041</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686,231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0" w:hanging="112"/>
        <w:spacing w:after="0"/>
        <w:tabs>
          <w:tab w:leader="none" w:pos="12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5" w:lineRule="exact"/>
        <w:rPr>
          <w:rFonts w:ascii="Arial" w:cs="Arial" w:eastAsia="Arial" w:hAnsi="Arial"/>
          <w:sz w:val="22"/>
          <w:szCs w:val="22"/>
          <w:color w:val="auto"/>
          <w:vertAlign w:val="superscript"/>
        </w:rPr>
      </w:pPr>
    </w:p>
    <w:p>
      <w:pPr>
        <w:spacing w:after="0" w:line="235"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pacing w:after="0" w:line="10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 fair value of the collateral is based upon an observable market price or current appraised value and therefore, the Company classifies these assets as nonrecurring Level 3. There were no non-accrual loans, loans delinquent 90 days or more and still accruing interest, or loans classified as troubled debt restructuring at March 31, 2018 or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(included in other assets) as of March 31, 2018 and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2017 to March 31, 2018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3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December 31,</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Charge-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w w:val="93"/>
              </w:rPr>
              <w:t>March 31,</w:t>
            </w:r>
          </w:p>
        </w:tc>
      </w:tr>
      <w:tr>
        <w:trPr>
          <w:trHeight w:val="252"/>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Offs</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Recoveries</w:t>
            </w:r>
          </w:p>
        </w:tc>
        <w:tc>
          <w:tcPr>
            <w:tcW w:w="10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Provision</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1"/>
                <w:szCs w:val="21"/>
                <w:color w:val="auto"/>
              </w:rPr>
            </w:pPr>
          </w:p>
        </w:tc>
      </w:tr>
      <w:tr>
        <w:trPr>
          <w:trHeight w:val="243"/>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3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3,652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C0C0C0"/>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3,977</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2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3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1,341</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3,962</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3,856</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23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r>
      <w:tr>
        <w:trPr>
          <w:trHeight w:val="237"/>
        </w:trPr>
        <w:tc>
          <w:tcPr>
            <w:tcW w:w="37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10,205</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0C0C0"/>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20"/>
                <w:szCs w:val="20"/>
                <w:color w:val="auto"/>
              </w:rPr>
            </w:pPr>
          </w:p>
        </w:tc>
      </w:tr>
      <w:tr>
        <w:trPr>
          <w:trHeight w:val="430"/>
        </w:trPr>
        <w:tc>
          <w:tcPr>
            <w:tcW w:w="3760" w:type="dxa"/>
            <w:vAlign w:val="bottom"/>
          </w:tcPr>
          <w:p>
            <w:pPr>
              <w:spacing w:after="0"/>
              <w:rPr>
                <w:sz w:val="24"/>
                <w:szCs w:val="24"/>
                <w:color w:val="auto"/>
              </w:rPr>
            </w:pPr>
          </w:p>
        </w:tc>
        <w:tc>
          <w:tcPr>
            <w:tcW w:w="238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March 31, 2018 and December 31, 2017,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2018, the balance of unused loan commitments, standby and commercial letters of credit were $63,069,000, $12,507,000, and $3,510,000,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March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40" w:type="dxa"/>
            <w:vAlign w:val="bottom"/>
            <w:gridSpan w:val="10"/>
          </w:tcPr>
          <w:p>
            <w:pPr>
              <w:jc w:val="right"/>
              <w:ind w:right="20"/>
              <w:spacing w:after="0"/>
              <w:rPr>
                <w:sz w:val="20"/>
                <w:szCs w:val="20"/>
                <w:color w:val="auto"/>
              </w:rPr>
            </w:pPr>
            <w:r>
              <w:rPr>
                <w:rFonts w:ascii="Arial" w:cs="Arial" w:eastAsia="Arial" w:hAnsi="Arial"/>
                <w:sz w:val="18"/>
                <w:szCs w:val="18"/>
                <w:b w:val="1"/>
                <w:bCs w:val="1"/>
                <w:color w:val="auto"/>
              </w:rPr>
              <w:t>Amount of Commitment Expiration per Period</w:t>
            </w:r>
          </w:p>
        </w:tc>
        <w:tc>
          <w:tcPr>
            <w:tcW w:w="600" w:type="dxa"/>
            <w:vAlign w:val="bottom"/>
          </w:tcPr>
          <w:p>
            <w:pPr>
              <w:spacing w:after="0"/>
              <w:rPr>
                <w:sz w:val="17"/>
                <w:szCs w:val="17"/>
                <w:color w:val="auto"/>
              </w:rPr>
            </w:pPr>
          </w:p>
        </w:tc>
      </w:tr>
      <w:tr>
        <w:trPr>
          <w:trHeight w:val="262"/>
        </w:trPr>
        <w:tc>
          <w:tcPr>
            <w:tcW w:w="4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Less than</w:t>
            </w: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3-5</w:t>
            </w:r>
          </w:p>
        </w:tc>
        <w:tc>
          <w:tcPr>
            <w:tcW w:w="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Over 5</w:t>
            </w:r>
          </w:p>
        </w:tc>
      </w:tr>
      <w:tr>
        <w:trPr>
          <w:trHeight w:val="26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7"/>
              </w:rPr>
              <w:t>Total</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9"/>
              </w:rPr>
              <w:t>Years</w:t>
            </w: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Years</w:t>
            </w: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2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6,537</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1,542</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2,694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2,219</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Time deposits</w:t>
            </w:r>
          </w:p>
        </w:tc>
        <w:tc>
          <w:tcPr>
            <w:tcW w:w="2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52,498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48,115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2,919</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1,464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3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59,035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49,657</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5,613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3,683</w:t>
            </w:r>
          </w:p>
        </w:tc>
        <w:tc>
          <w:tcPr>
            <w:tcW w:w="22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82</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three months ended March 31, 2018, 19,556 restricted shares, 28,388 performance-based restricted shares, and 0 SARs were granted under the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2018, the total unrecognized compensation expense related to non-vested restricted shares was $2,048,000, and the related weighted-average period over which it is expected to be recognized is approximately 1.2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958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9580" w:type="dxa"/>
            <w:vAlign w:val="bottom"/>
          </w:tcPr>
          <w:p>
            <w:pPr>
              <w:spacing w:after="0"/>
              <w:rPr>
                <w:sz w:val="24"/>
                <w:szCs w:val="24"/>
                <w:color w:val="auto"/>
              </w:rPr>
            </w:pPr>
          </w:p>
        </w:tc>
        <w:tc>
          <w:tcPr>
            <w:tcW w:w="18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5"/>
              </w:rPr>
              <w:t>Three Months Ended</w:t>
            </w:r>
          </w:p>
        </w:tc>
      </w:tr>
      <w:tr>
        <w:trPr>
          <w:trHeight w:val="266"/>
        </w:trPr>
        <w:tc>
          <w:tcPr>
            <w:tcW w:w="9580" w:type="dxa"/>
            <w:vAlign w:val="bottom"/>
          </w:tcPr>
          <w:p>
            <w:pPr>
              <w:spacing w:after="0"/>
              <w:rPr>
                <w:sz w:val="23"/>
                <w:szCs w:val="23"/>
                <w:color w:val="auto"/>
              </w:rPr>
            </w:pPr>
          </w:p>
        </w:tc>
        <w:tc>
          <w:tcPr>
            <w:tcW w:w="18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March 31, 2018</w:t>
            </w:r>
          </w:p>
        </w:tc>
      </w:tr>
      <w:tr>
        <w:trPr>
          <w:trHeight w:val="250"/>
        </w:trPr>
        <w:tc>
          <w:tcPr>
            <w:tcW w:w="958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Shares</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958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98"/>
              </w:rPr>
              <w:t>78,166</w:t>
            </w:r>
          </w:p>
        </w:tc>
        <w:tc>
          <w:tcPr>
            <w:tcW w:w="4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21"/>
                <w:szCs w:val="21"/>
                <w:color w:val="auto"/>
              </w:rPr>
            </w:pPr>
          </w:p>
        </w:tc>
      </w:tr>
      <w:tr>
        <w:trPr>
          <w:trHeight w:val="235"/>
        </w:trPr>
        <w:tc>
          <w:tcPr>
            <w:tcW w:w="95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19,556</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58.39</w:t>
            </w:r>
          </w:p>
        </w:tc>
      </w:tr>
      <w:tr>
        <w:trPr>
          <w:trHeight w:val="244"/>
        </w:trPr>
        <w:tc>
          <w:tcPr>
            <w:tcW w:w="9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89"/>
              </w:rPr>
              <w:t>(21,662)</w:t>
            </w:r>
          </w:p>
        </w:tc>
        <w:tc>
          <w:tcPr>
            <w:tcW w:w="4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21"/>
                <w:szCs w:val="21"/>
                <w:color w:val="auto"/>
              </w:rPr>
            </w:pPr>
          </w:p>
        </w:tc>
      </w:tr>
      <w:tr>
        <w:trPr>
          <w:trHeight w:val="250"/>
        </w:trPr>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March 31, 2018</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76,060</w:t>
            </w: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53.71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25,342 with a grant date fair value of $59.20 per share. The 2018 expense related to these grants is currently estimated to be $610,000 and is based on the grant date fair value of the awards and the Company’s achievement of 124% of the target financial goals. The estimated expense for 2018 and each future period through the vesting date is subject to prospective adjustment based upon changes in the expected achievement of the financial goals.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of 2018, the Company granted three-year PBRS awards which are contingent upon the Company’s achievement of pre-established financial goals over the period from January 1, 2018 through December 31, 2020.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28,388 with an average grant date fair value of $58.35 per share. The 2018 expense related to these grants is currently estimated to be $552,000 and is based on the grant date fair value of the awards and the Company’s achievement of 100% of the target financial goals. The estimated expense for 2018 and each future period through the vesting date is subject to prospective adjustment based upon changes in the expected achievement of the financial goals.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three months ended March 31, 2018. Following is a summary of the activity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three-month period ended March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7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8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7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w:t>
            </w:r>
          </w:p>
        </w:tc>
        <w:tc>
          <w:tcPr>
            <w:tcW w:w="28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Value</w:t>
            </w:r>
          </w:p>
        </w:tc>
      </w:tr>
      <w:tr>
        <w:trPr>
          <w:trHeight w:val="266"/>
        </w:trPr>
        <w:tc>
          <w:tcPr>
            <w:tcW w:w="70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Shares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6"/>
              </w:rPr>
              <w:t>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Term Years</w:t>
            </w:r>
          </w:p>
        </w:tc>
        <w:tc>
          <w:tcPr>
            <w:tcW w:w="126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8"/>
                <w:szCs w:val="18"/>
                <w:b w:val="1"/>
                <w:bCs w:val="1"/>
                <w:i w:val="1"/>
                <w:iCs w:val="1"/>
                <w:color w:val="auto"/>
                <w:w w:val="87"/>
              </w:rPr>
              <w:t>(In thousands)</w:t>
            </w:r>
          </w:p>
        </w:tc>
      </w:tr>
      <w:tr>
        <w:trPr>
          <w:trHeight w:val="243"/>
        </w:trPr>
        <w:tc>
          <w:tcPr>
            <w:tcW w:w="700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6"/>
              </w:rPr>
              <w:t>234,236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34.97</w:t>
            </w: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7,291</w:t>
            </w:r>
          </w:p>
        </w:tc>
      </w:tr>
      <w:tr>
        <w:trPr>
          <w:trHeight w:val="237"/>
        </w:trPr>
        <w:tc>
          <w:tcPr>
            <w:tcW w:w="70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20.61</w:t>
            </w: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50"/>
        </w:trPr>
        <w:tc>
          <w:tcPr>
            <w:tcW w:w="70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Exercisable at March 31, 2018</w:t>
            </w:r>
          </w:p>
        </w:tc>
        <w:tc>
          <w:tcPr>
            <w:tcW w:w="8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86"/>
              </w:rPr>
              <w:t>231,752</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35.13</w:t>
            </w: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4.06</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5,651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March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00" w:type="dxa"/>
            <w:vAlign w:val="bottom"/>
          </w:tcPr>
          <w:p>
            <w:pPr>
              <w:spacing w:after="0"/>
              <w:rPr>
                <w:sz w:val="19"/>
                <w:szCs w:val="19"/>
                <w:color w:val="auto"/>
              </w:rPr>
            </w:pPr>
          </w:p>
        </w:tc>
        <w:tc>
          <w:tcPr>
            <w:tcW w:w="40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Estimated</w:t>
            </w:r>
          </w:p>
        </w:tc>
        <w:tc>
          <w:tcPr>
            <w:tcW w:w="3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Actual</w:t>
            </w:r>
          </w:p>
        </w:tc>
      </w:tr>
      <w:tr>
        <w:trPr>
          <w:trHeight w:val="26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r>
      <w:tr>
        <w:trPr>
          <w:trHeight w:val="243"/>
        </w:trPr>
        <w:tc>
          <w:tcPr>
            <w:tcW w:w="630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4,294</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3,733</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26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3,655</w:t>
            </w:r>
          </w:p>
        </w:tc>
        <w:tc>
          <w:tcPr>
            <w:tcW w:w="3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3,621</w:t>
            </w:r>
          </w:p>
        </w:tc>
      </w:tr>
      <w:tr>
        <w:trPr>
          <w:trHeight w:val="251"/>
        </w:trPr>
        <w:tc>
          <w:tcPr>
            <w:tcW w:w="630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(5,206)</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(4,681)</w:t>
            </w:r>
          </w:p>
        </w:tc>
      </w:t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w:t>
            </w:r>
          </w:p>
        </w:tc>
        <w:tc>
          <w:tcPr>
            <w:tcW w:w="3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1,409</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1,382</w:t>
            </w:r>
          </w:p>
        </w:tc>
      </w:tr>
      <w:tr>
        <w:trPr>
          <w:trHeight w:val="237"/>
        </w:trPr>
        <w:tc>
          <w:tcPr>
            <w:tcW w:w="63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Net periodic pension cost</w:t>
            </w:r>
          </w:p>
        </w:tc>
        <w:tc>
          <w:tcPr>
            <w:tcW w:w="3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4,152</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4,055</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costs recorded to expense were $1,049,000 and $1,020,000 for the three-month periods ended March 31, 2018 and 2017, respectively. Pension costs increased in 2018 primarily due to a decrease in the discount rate. The Company made no contribution to the plan during the three-month period ended March 31, 2018 and is evaluating the amount of additional contributions, if any, in the remainder of 2018.</w:t>
      </w:r>
    </w:p>
    <w:p>
      <w:pPr>
        <w:spacing w:after="0" w:line="19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2017 and an estimate for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20" w:type="dxa"/>
            <w:vAlign w:val="bottom"/>
          </w:tcPr>
          <w:p>
            <w:pPr>
              <w:spacing w:after="0"/>
              <w:rPr>
                <w:sz w:val="19"/>
                <w:szCs w:val="19"/>
                <w:color w:val="auto"/>
              </w:rPr>
            </w:pPr>
          </w:p>
        </w:tc>
        <w:tc>
          <w:tcPr>
            <w:tcW w:w="42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r>
      <w:tr>
        <w:trPr>
          <w:trHeight w:val="266"/>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3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44"/>
        </w:trPr>
        <w:tc>
          <w:tcPr>
            <w:tcW w:w="6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6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Net periodic pension cost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Pension costs recorded to expense were $255,000 and $209,000 for the three-month periods ended March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2018, the Company’s unrecognized tax benefits were approximately $1,697,000, of which $1,529,000 would, if recognized, affect the Company’s effective tax rate. As of December 31, 2017, the Company's unrecognized tax benefits were approximately $1,632,000, of which $1,464,000 would, if recognized, affect the Company's effective tax rate. During the next 12 months, the Company may realize a reduction of its unrecognized tax benefits of approximately $299,000 due to the lapse of federal and state statutes of limitations.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$153,000 and $139,000 of gross interest accrued as of March 31, 2018 and December 31, 2017, respectively. There were no penalties for unrecognized tax benefits accrued at March 31, 2018 and December 31, 2017.</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2014 through 2016 remain subject to examination by the Internal Revenue Service. In addition, the Company is subject to state tax examinations for the tax years 2013 through 2016.</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Tax Cuts and Jobs Act (“TCJA”) was enacted. Among other things, the new law (i) establishes a new, flat corporate federal statutory income tax rate of 21% beginning January 1, 2018;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8"/>
        </w:trPr>
        <w:tc>
          <w:tcPr>
            <w:tcW w:w="4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ind w:right="212"/>
              <w:spacing w:after="0"/>
              <w:rPr>
                <w:sz w:val="20"/>
                <w:szCs w:val="20"/>
                <w:color w:val="auto"/>
              </w:rPr>
            </w:pPr>
            <w:r>
              <w:rPr>
                <w:rFonts w:ascii="Arial" w:cs="Arial" w:eastAsia="Arial" w:hAnsi="Arial"/>
                <w:sz w:val="18"/>
                <w:szCs w:val="18"/>
                <w:b w:val="1"/>
                <w:bCs w:val="1"/>
                <w:color w:val="auto"/>
                <w:w w:val="80"/>
              </w:rPr>
              <w:t>Gross</w:t>
            </w:r>
          </w:p>
        </w:tc>
        <w:tc>
          <w:tcPr>
            <w:tcW w:w="300" w:type="dxa"/>
            <w:vAlign w:val="bottom"/>
          </w:tcPr>
          <w:p>
            <w:pPr>
              <w:spacing w:after="0"/>
              <w:rPr>
                <w:sz w:val="19"/>
                <w:szCs w:val="19"/>
                <w:color w:val="auto"/>
              </w:rPr>
            </w:pPr>
          </w:p>
        </w:tc>
        <w:tc>
          <w:tcPr>
            <w:tcW w:w="90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4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90"/>
              </w:rPr>
              <w:t>Amortized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4"/>
              </w:rPr>
              <w:t>Cost</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5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395,439</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3,582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3,681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395,340</w:t>
            </w: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53,943</w:t>
            </w:r>
          </w:p>
        </w:tc>
        <w:tc>
          <w:tcPr>
            <w:tcW w:w="30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1,543</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52,400</w:t>
            </w:r>
          </w:p>
        </w:tc>
      </w:tr>
      <w:tr>
        <w:trPr>
          <w:trHeight w:val="244"/>
        </w:trPr>
        <w:tc>
          <w:tcPr>
            <w:tcW w:w="46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0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7,241</w:t>
            </w:r>
          </w:p>
        </w:tc>
        <w:tc>
          <w:tcPr>
            <w:tcW w:w="3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7,241</w:t>
            </w:r>
          </w:p>
        </w:tc>
      </w:tr>
      <w:tr>
        <w:trPr>
          <w:trHeight w:val="250"/>
        </w:trPr>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456,623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5,224</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454,981</w:t>
            </w:r>
          </w:p>
        </w:tc>
      </w:tr>
      <w:tr>
        <w:trPr>
          <w:trHeight w:val="480"/>
        </w:trPr>
        <w:tc>
          <w:tcPr>
            <w:tcW w:w="4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w w:val="97"/>
              </w:rPr>
              <w:t>December 31, 2017</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28"/>
        </w:trPr>
        <w:tc>
          <w:tcPr>
            <w:tcW w:w="4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ind w:right="212"/>
              <w:spacing w:after="0"/>
              <w:rPr>
                <w:sz w:val="20"/>
                <w:szCs w:val="20"/>
                <w:color w:val="auto"/>
              </w:rPr>
            </w:pPr>
            <w:r>
              <w:rPr>
                <w:rFonts w:ascii="Arial" w:cs="Arial" w:eastAsia="Arial" w:hAnsi="Arial"/>
                <w:sz w:val="18"/>
                <w:szCs w:val="18"/>
                <w:b w:val="1"/>
                <w:bCs w:val="1"/>
                <w:color w:val="auto"/>
                <w:w w:val="80"/>
              </w:rPr>
              <w:t>Gross</w:t>
            </w:r>
          </w:p>
        </w:tc>
        <w:tc>
          <w:tcPr>
            <w:tcW w:w="300" w:type="dxa"/>
            <w:vAlign w:val="bottom"/>
          </w:tcPr>
          <w:p>
            <w:pPr>
              <w:spacing w:after="0"/>
              <w:rPr>
                <w:sz w:val="19"/>
                <w:szCs w:val="19"/>
                <w:color w:val="auto"/>
              </w:rPr>
            </w:pPr>
          </w:p>
        </w:tc>
        <w:tc>
          <w:tcPr>
            <w:tcW w:w="90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4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90"/>
              </w:rPr>
              <w:t>Amortized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4"/>
              </w:rPr>
              <w:t>Cost</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5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408,165</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9,528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417,032</w:t>
            </w: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46,222</w:t>
            </w:r>
          </w:p>
        </w:tc>
        <w:tc>
          <w:tcPr>
            <w:tcW w:w="30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45,500</w:t>
            </w:r>
          </w:p>
        </w:tc>
      </w:tr>
      <w:tr>
        <w:trPr>
          <w:trHeight w:val="244"/>
        </w:trPr>
        <w:tc>
          <w:tcPr>
            <w:tcW w:w="46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0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3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7,991</w:t>
            </w:r>
          </w:p>
        </w:tc>
      </w:tr>
      <w:tr>
        <w:trPr>
          <w:trHeight w:val="250"/>
        </w:trPr>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462,378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9,528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470,523</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89"/>
              </w:rPr>
              <w:t>The fair values of securities with unrealized losses are as follows: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252"/>
              <w:spacing w:after="0"/>
              <w:rPr>
                <w:sz w:val="20"/>
                <w:szCs w:val="20"/>
                <w:color w:val="auto"/>
              </w:rPr>
            </w:pPr>
            <w:r>
              <w:rPr>
                <w:rFonts w:ascii="Arial" w:cs="Arial" w:eastAsia="Arial" w:hAnsi="Arial"/>
                <w:sz w:val="18"/>
                <w:szCs w:val="18"/>
                <w:b w:val="1"/>
                <w:bCs w:val="1"/>
                <w:color w:val="auto"/>
                <w:w w:val="90"/>
              </w:rPr>
              <w:t>March 31, 2018</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w w:val="87"/>
              </w:rPr>
              <w:t>Less than 12 months</w:t>
            </w: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272"/>
              <w:spacing w:after="0"/>
              <w:rPr>
                <w:sz w:val="20"/>
                <w:szCs w:val="20"/>
                <w:color w:val="auto"/>
              </w:rPr>
            </w:pPr>
            <w:r>
              <w:rPr>
                <w:rFonts w:ascii="Arial" w:cs="Arial" w:eastAsia="Arial" w:hAnsi="Arial"/>
                <w:sz w:val="18"/>
                <w:szCs w:val="18"/>
                <w:b w:val="1"/>
                <w:bCs w:val="1"/>
                <w:color w:val="auto"/>
                <w:w w:val="87"/>
              </w:rPr>
              <w:t>12 months or more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92"/>
              </w:rPr>
              <w:t>Estimated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0" w:type="dxa"/>
            <w:vAlign w:val="bottom"/>
          </w:tcPr>
          <w:p>
            <w:pPr>
              <w:spacing w:after="0"/>
              <w:rPr>
                <w:sz w:val="23"/>
                <w:szCs w:val="23"/>
                <w:color w:val="auto"/>
              </w:rPr>
            </w:pPr>
          </w:p>
        </w:tc>
        <w:tc>
          <w:tcPr>
            <w:tcW w:w="102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3"/>
                <w:szCs w:val="23"/>
                <w:color w:val="auto"/>
              </w:rPr>
            </w:pPr>
          </w:p>
        </w:tc>
        <w:tc>
          <w:tcPr>
            <w:tcW w:w="900" w:type="dxa"/>
            <w:vAlign w:val="bottom"/>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3"/>
                <w:szCs w:val="23"/>
                <w:color w:val="auto"/>
              </w:rPr>
            </w:pPr>
          </w:p>
        </w:tc>
        <w:tc>
          <w:tcPr>
            <w:tcW w:w="900" w:type="dxa"/>
            <w:vAlign w:val="bottom"/>
          </w:tcPr>
          <w:p>
            <w:pPr>
              <w:jc w:val="center"/>
              <w:ind w:right="232"/>
              <w:spacing w:after="0"/>
              <w:rPr>
                <w:sz w:val="20"/>
                <w:szCs w:val="20"/>
                <w:color w:val="auto"/>
              </w:rPr>
            </w:pPr>
            <w:r>
              <w:rPr>
                <w:rFonts w:ascii="Arial" w:cs="Arial" w:eastAsia="Arial" w:hAnsi="Arial"/>
                <w:sz w:val="18"/>
                <w:szCs w:val="18"/>
                <w:b w:val="1"/>
                <w:bCs w:val="1"/>
                <w:color w:val="auto"/>
                <w:w w:val="80"/>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3"/>
                <w:szCs w:val="2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6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8"/>
              </w:rPr>
              <w:t>171,575</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2,364</w:t>
            </w:r>
          </w:p>
        </w:tc>
        <w:tc>
          <w:tcPr>
            <w:tcW w:w="32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30,324</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1,317</w:t>
            </w:r>
          </w:p>
        </w:tc>
        <w:tc>
          <w:tcPr>
            <w:tcW w:w="3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201,900</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41,626</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10,775</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52,400</w:t>
            </w:r>
          </w:p>
        </w:tc>
        <w:tc>
          <w:tcPr>
            <w:tcW w:w="3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1,543</w:t>
            </w:r>
          </w:p>
        </w:tc>
      </w:tr>
      <w:tr>
        <w:trPr>
          <w:trHeight w:val="244"/>
        </w:trPr>
        <w:tc>
          <w:tcPr>
            <w:tcW w:w="46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468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213,201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3,356</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41,099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1,868</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254,300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5,224</w:t>
            </w:r>
          </w:p>
        </w:tc>
      </w:tr>
      <w:tr>
        <w:trPr>
          <w:trHeight w:val="493"/>
        </w:trPr>
        <w:tc>
          <w:tcPr>
            <w:tcW w:w="4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4"/>
              </w:rPr>
              <w:t>December 31, 2017</w:t>
            </w: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w w:val="90"/>
              </w:rPr>
              <w:t>Less than 12 months</w:t>
            </w: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232"/>
              <w:spacing w:after="0"/>
              <w:rPr>
                <w:sz w:val="20"/>
                <w:szCs w:val="20"/>
                <w:color w:val="auto"/>
              </w:rPr>
            </w:pPr>
            <w:r>
              <w:rPr>
                <w:rFonts w:ascii="Arial" w:cs="Arial" w:eastAsia="Arial" w:hAnsi="Arial"/>
                <w:sz w:val="18"/>
                <w:szCs w:val="18"/>
                <w:b w:val="1"/>
                <w:bCs w:val="1"/>
                <w:color w:val="auto"/>
                <w:w w:val="87"/>
              </w:rPr>
              <w:t>12 months or more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Estimated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3"/>
                <w:szCs w:val="23"/>
                <w:color w:val="auto"/>
              </w:rPr>
            </w:pPr>
          </w:p>
        </w:tc>
        <w:tc>
          <w:tcPr>
            <w:tcW w:w="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3"/>
                <w:szCs w:val="23"/>
                <w:color w:val="auto"/>
              </w:rPr>
            </w:pPr>
          </w:p>
        </w:tc>
        <w:tc>
          <w:tcPr>
            <w:tcW w:w="900" w:type="dxa"/>
            <w:vAlign w:val="bottom"/>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3"/>
                <w:szCs w:val="2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6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Borders>
              <w:top w:val="single" w:sz="8" w:color="auto"/>
            </w:tcBorders>
            <w:gridSpan w:val="3"/>
            <w:shd w:val="clear" w:color="auto" w:fill="C0C0C0"/>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34,755</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31,251</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538</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66,006</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34,183</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11,317</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45,500</w:t>
            </w:r>
          </w:p>
        </w:tc>
        <w:tc>
          <w:tcPr>
            <w:tcW w:w="3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r>
      <w:tr>
        <w:trPr>
          <w:trHeight w:val="244"/>
        </w:trPr>
        <w:tc>
          <w:tcPr>
            <w:tcW w:w="46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4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68,938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42,568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884</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111,506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1,383</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169 securities, or 46% of the total (24 greater than 12 months), in an unrealized loss position as of March 31, 2018. There were 64 securities, or 17% of the total (24 greater than 12 months), in an unrealized loss position as of December 31, 2017.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1"/>
        </w:trPr>
        <w:tc>
          <w:tcPr>
            <w:tcW w:w="9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2018</w:t>
            </w: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Amortized Cost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16,224</w:t>
            </w:r>
          </w:p>
        </w:tc>
        <w:tc>
          <w:tcPr>
            <w:tcW w:w="4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16,320</w:t>
            </w: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4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64,485</w:t>
            </w:r>
          </w:p>
        </w:tc>
        <w:tc>
          <w:tcPr>
            <w:tcW w:w="4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64,887</w:t>
            </w:r>
          </w:p>
        </w:tc>
      </w:tr>
      <w:tr>
        <w:trPr>
          <w:trHeight w:val="251"/>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253,486</w:t>
            </w:r>
          </w:p>
        </w:tc>
        <w:tc>
          <w:tcPr>
            <w:tcW w:w="44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254,514</w:t>
            </w:r>
          </w:p>
        </w:tc>
        <w:tc>
          <w:tcPr>
            <w:tcW w:w="20" w:type="dxa"/>
            <w:vAlign w:val="bottom"/>
          </w:tcPr>
          <w:p>
            <w:pPr>
              <w:spacing w:after="0"/>
              <w:rPr>
                <w:sz w:val="21"/>
                <w:szCs w:val="21"/>
                <w:color w:val="auto"/>
              </w:rPr>
            </w:pPr>
          </w:p>
        </w:tc>
      </w:tr>
      <w:tr>
        <w:trPr>
          <w:trHeight w:val="237"/>
        </w:trPr>
        <w:tc>
          <w:tcPr>
            <w:tcW w:w="9060" w:type="dxa"/>
            <w:vAlign w:val="bottom"/>
          </w:tcPr>
          <w:p>
            <w:pPr>
              <w:spacing w:after="0"/>
              <w:rPr>
                <w:sz w:val="20"/>
                <w:szCs w:val="20"/>
                <w:color w:val="auto"/>
              </w:rPr>
            </w:pPr>
            <w:r>
              <w:rPr>
                <w:rFonts w:ascii="Arial" w:cs="Arial" w:eastAsia="Arial" w:hAnsi="Arial"/>
                <w:sz w:val="18"/>
                <w:szCs w:val="18"/>
                <w:color w:val="auto"/>
              </w:rPr>
              <w:t>Due after 10 years</w:t>
            </w:r>
          </w:p>
        </w:tc>
        <w:tc>
          <w:tcPr>
            <w:tcW w:w="34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122,428</w:t>
            </w:r>
          </w:p>
        </w:tc>
        <w:tc>
          <w:tcPr>
            <w:tcW w:w="4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119,260</w:t>
            </w:r>
          </w:p>
        </w:tc>
      </w:tr>
      <w:tr>
        <w:trPr>
          <w:trHeight w:val="237"/>
        </w:trPr>
        <w:tc>
          <w:tcPr>
            <w:tcW w:w="906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456,623</w:t>
            </w:r>
          </w:p>
        </w:tc>
        <w:tc>
          <w:tcPr>
            <w:tcW w:w="44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454,981</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sales of investment securities classified as available for sale were $9,543,000 and $0 for the three months ended March 31, 2018 and 2017, respectively. Gross realized gains were $13,000 and $0 for the three months ended March 31, 2018 and 2017, respectively. There was one security totaling $3,750,000 pledged to secure public deposits and for other purposes at March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4"/>
          </w:tcPr>
          <w:p>
            <w:pPr>
              <w:ind w:left="44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December 31, 2017</w:t>
            </w:r>
          </w:p>
        </w:tc>
      </w:tr>
      <w:tr>
        <w:trPr>
          <w:trHeight w:val="228"/>
        </w:trPr>
        <w:tc>
          <w:tcPr>
            <w:tcW w:w="4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6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199,582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199,582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228,110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228,110</w:t>
            </w: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454,981</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454,981</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470,523</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470,523</w:t>
            </w: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691,790</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684,135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676,026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675,020</w:t>
            </w:r>
          </w:p>
        </w:tc>
      </w:tr>
      <w:tr>
        <w:trPr>
          <w:trHeight w:val="244"/>
        </w:trPr>
        <w:tc>
          <w:tcPr>
            <w:tcW w:w="44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2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6,509</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6,509</w:t>
            </w:r>
          </w:p>
        </w:tc>
        <w:tc>
          <w:tcPr>
            <w:tcW w:w="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7,413</w:t>
            </w:r>
          </w:p>
        </w:tc>
        <w:tc>
          <w:tcPr>
            <w:tcW w:w="22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7,413</w:t>
            </w:r>
          </w:p>
        </w:tc>
      </w:tr>
      <w:tr>
        <w:trPr>
          <w:trHeight w:val="237"/>
        </w:trPr>
        <w:tc>
          <w:tcPr>
            <w:tcW w:w="44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1,352,862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1,345,207</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1,382,072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1,381,066</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Deposits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639,243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635,619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678,088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678,346</w:t>
            </w: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747,455</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747,455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661,888</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661,888</w:t>
            </w:r>
          </w:p>
        </w:tc>
      </w:tr>
      <w:tr>
        <w:trPr>
          <w:trHeight w:val="237"/>
        </w:trPr>
        <w:tc>
          <w:tcPr>
            <w:tcW w:w="4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Accrued interest payable</w:t>
            </w: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44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1,386,765</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1,383,141</w:t>
            </w:r>
          </w:p>
        </w:tc>
        <w:tc>
          <w:tcPr>
            <w:tcW w:w="26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1,340,031</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1,340,289</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is measured on a recurring basis using Level 2 valuations. Refer to Note 11, “Investment in Securities,” for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by investment type.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demand deposits, savings deposits and certain money market deposits is the amount payable on demand at the reporting date.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jc w:val="both"/>
        <w:ind w:right="20"/>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three months ended March 31, 2018 and 2017. No financial instruments are measured using Level 3 inputs for the three months ended March 31,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FASB ASC 855, “Subsequent Events,” the Company has evaluated subsequent events after the consolidated balance sheet date of March 31, 2018, and there were no events identified that would require additional disclosures to prevent the Company’s unaudited consolidated financial statements from being misleading.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2017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March 31, 2018 (“First Quarter of 2018”) compared to the three-month period ended March 31, 2017 (“First Quarter of 2017”). The following discussion and analysis should be read in conjunction with the unaudited consolidated financial statements and related notes and with the statistical information and financial data appearing in this report, as well as in the Company's 2017 Annual Report on Form 10-K. Results of operations for the First Quarter of 2018 are not necessarily indicative of the results to be attained for any other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The following table summarizes the Company’s operating results: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8"/>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First Quarter of</w:t>
            </w:r>
          </w:p>
        </w:tc>
        <w:tc>
          <w:tcPr>
            <w:tcW w:w="700" w:type="dxa"/>
            <w:vAlign w:val="bottom"/>
            <w:tcBorders>
              <w:bottom w:val="single" w:sz="8" w:color="auto"/>
            </w:tcBorders>
          </w:tcPr>
          <w:p>
            <w:pPr>
              <w:spacing w:after="0"/>
              <w:rPr>
                <w:sz w:val="24"/>
                <w:szCs w:val="24"/>
                <w:color w:val="auto"/>
              </w:rPr>
            </w:pPr>
          </w:p>
        </w:tc>
      </w:tr>
      <w:tr>
        <w:trPr>
          <w:trHeight w:val="228"/>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 except per share data)</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8,092</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6,307</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28.3%</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7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1.70%</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14.94%</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12.36%</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First Quarter of</w:t>
            </w:r>
          </w:p>
        </w:tc>
        <w:tc>
          <w:tcPr>
            <w:tcW w:w="720" w:type="dxa"/>
            <w:vAlign w:val="bottom"/>
            <w:tcBorders>
              <w:bottom w:val="single" w:sz="8" w:color="auto"/>
            </w:tcBorders>
          </w:tcPr>
          <w:p>
            <w:pPr>
              <w:spacing w:after="0"/>
              <w:rPr>
                <w:sz w:val="21"/>
                <w:szCs w:val="21"/>
                <w:color w:val="auto"/>
              </w:rPr>
            </w:pPr>
          </w:p>
        </w:tc>
      </w:tr>
      <w:tr>
        <w:trPr>
          <w:trHeight w:val="228"/>
        </w:trPr>
        <w:tc>
          <w:tcPr>
            <w:tcW w:w="54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2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9,191</w:t>
            </w: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8,375</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w:t>
            </w:r>
          </w:p>
        </w:tc>
      </w:t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3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6,790,747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5,876,843</w:t>
            </w: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1"/>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Facility expense transaction volume*</w:t>
            </w:r>
          </w:p>
        </w:tc>
        <w:tc>
          <w:tcPr>
            <w:tcW w:w="2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7,121</w:t>
            </w: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6,813</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w:t>
            </w:r>
          </w:p>
        </w:tc>
      </w:t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Facility expense dollar volume</w:t>
            </w:r>
          </w:p>
        </w:tc>
        <w:tc>
          <w:tcPr>
            <w:tcW w:w="3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3,438,203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3,175,913</w:t>
            </w: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58"/>
        </w:trPr>
        <w:tc>
          <w:tcPr>
            <w:tcW w:w="54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3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24,827</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22,289</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11.4%</w:t>
            </w:r>
          </w:p>
        </w:tc>
      </w:tr>
    </w:tbl>
    <w:p>
      <w:pPr>
        <w:spacing w:after="0" w:line="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*Includes energy, telecom and environmental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2018 compared to First Quarter of 2017:</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Payment and processing fee revenue increased 11%. Highlighting first quarter performance was a 16% increase in transportation dollar volume. Increased carrier and fuel prices combined with higher volume from current accounts to produce the notable result. Transportation invoice volume was also up 10% for the period. Facility expense transaction and dollar volume increased 5% and 8%, respectively. New customer wins, combined with increased volume from current accounts, fueled these increases.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Gains of $13,000 on the sales of securities were recognized in the First Quarter of 2018, compared to no gains in the First Quarter of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First Quarter of</w:t>
            </w:r>
          </w:p>
        </w:tc>
        <w:tc>
          <w:tcPr>
            <w:tcW w:w="720" w:type="dxa"/>
            <w:vAlign w:val="bottom"/>
            <w:tcBorders>
              <w:bottom w:val="single" w:sz="8" w:color="auto"/>
            </w:tcBorders>
          </w:tcPr>
          <w:p>
            <w:pPr>
              <w:spacing w:after="0"/>
              <w:rPr>
                <w:sz w:val="21"/>
                <w:szCs w:val="21"/>
                <w:color w:val="auto"/>
              </w:rPr>
            </w:pPr>
          </w:p>
        </w:tc>
      </w:tr>
      <w:tr>
        <w:trPr>
          <w:trHeight w:val="228"/>
        </w:trPr>
        <w:tc>
          <w:tcPr>
            <w:tcW w:w="5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0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2018</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40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   1,410,945</w:t>
            </w:r>
          </w:p>
        </w:tc>
        <w:tc>
          <w:tcPr>
            <w:tcW w:w="14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   1,316,034</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7.21%</w:t>
            </w: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4060" w:type="dxa"/>
            <w:vAlign w:val="bottom"/>
            <w:gridSpan w:val="2"/>
          </w:tcPr>
          <w:p>
            <w:pPr>
              <w:jc w:val="right"/>
              <w:ind w:right="192"/>
              <w:spacing w:after="0"/>
              <w:rPr>
                <w:sz w:val="20"/>
                <w:szCs w:val="20"/>
                <w:color w:val="auto"/>
              </w:rPr>
            </w:pPr>
            <w:r>
              <w:rPr>
                <w:rFonts w:ascii="Arial" w:cs="Arial" w:eastAsia="Arial" w:hAnsi="Arial"/>
                <w:sz w:val="18"/>
                <w:szCs w:val="18"/>
                <w:color w:val="auto"/>
              </w:rPr>
              <w:t>381,926</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392,616</w:t>
            </w: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51"/>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40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11,296</w:t>
            </w:r>
          </w:p>
        </w:tc>
        <w:tc>
          <w:tcPr>
            <w:tcW w:w="14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10,940</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3.25%</w:t>
            </w: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Net interest margin*</w:t>
            </w:r>
          </w:p>
        </w:tc>
        <w:tc>
          <w:tcPr>
            <w:tcW w:w="4060" w:type="dxa"/>
            <w:vAlign w:val="bottom"/>
            <w:gridSpan w:val="2"/>
          </w:tcPr>
          <w:p>
            <w:pPr>
              <w:jc w:val="right"/>
              <w:ind w:right="52"/>
              <w:spacing w:after="0"/>
              <w:rPr>
                <w:sz w:val="20"/>
                <w:szCs w:val="20"/>
                <w:color w:val="auto"/>
              </w:rPr>
            </w:pPr>
            <w:r>
              <w:rPr>
                <w:rFonts w:ascii="Arial" w:cs="Arial" w:eastAsia="Arial" w:hAnsi="Arial"/>
                <w:sz w:val="18"/>
                <w:szCs w:val="18"/>
                <w:color w:val="auto"/>
              </w:rPr>
              <w:t>3.25%</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3.37%</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1"/>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p>
        </w:tc>
        <w:tc>
          <w:tcPr>
            <w:tcW w:w="40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3.44%</w:t>
            </w:r>
          </w:p>
        </w:tc>
        <w:tc>
          <w:tcPr>
            <w:tcW w:w="14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3.52%</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on interest-bearing liabilities</w:t>
            </w:r>
          </w:p>
        </w:tc>
        <w:tc>
          <w:tcPr>
            <w:tcW w:w="40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.72%</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*Presented on a tax-equivalent basis assuming a tax rate of 21% for 2018 and 35% for 2017. The TCJA reduced the net interest margin and yield on earning assets by approximately 20 basis points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2018 compared to First Quarter of 2017:</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First Quarter of 2018 average earning assets increased $94,911,000, or 7.2%, compared to the same period in the prior year. Average investment securities increased $53,676,000, or 13.2%, loans increased $33,606,000, or 5.1%, and federal funds sold and other short-term investments increased $8,014,000, or 5.9%, in the First Quarter of 2018 compared to the First Quarter of 2017.</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Total average interest-bearing liabilities for the First Quarter of 2018 decreased $10,701,000, or 2.7%, compared to the First Quarter of 2017 as customers moved deposits to higher yielding accounts at competitors. Average accounts and drafts payable increased $72,538,000, or 10.8% in the First Quarter of 2018 compared to the First Quarter of 2017.</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First Quarter of 2018 tax-equivalized net interest income increased $356,000, or 3.3%, compared to the same period in the prior year as a result of the increase in average earning assets and the improving rate environment. This increase was partially offset by a lower tax equivalent adjustment as a result of the federal tax rate decrease in 2018 from the enactment of TCJA in December 2017. The federal tax rate decrease also negatively impacted net interest margin and yield on earning assets for the First Quarter of 2018 compared to the First Quarter of 2017, but was partially offset by the improving rate environment.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to the interest rate environment also led to an increase in the rate on interest-bearing liabilities in the First Quarter of 2018 compared to the First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First Quarter of 2018</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First Quarter of 2017</w:t>
            </w:r>
          </w:p>
        </w:tc>
        <w:tc>
          <w:tcPr>
            <w:tcW w:w="560" w:type="dxa"/>
            <w:vAlign w:val="bottom"/>
            <w:tcBorders>
              <w:bottom w:val="single" w:sz="8" w:color="auto"/>
            </w:tcBorders>
          </w:tcPr>
          <w:p>
            <w:pPr>
              <w:spacing w:after="0"/>
              <w:rPr>
                <w:sz w:val="21"/>
                <w:szCs w:val="21"/>
                <w:color w:val="auto"/>
              </w:rPr>
            </w:pPr>
          </w:p>
        </w:tc>
      </w:tr>
      <w:tr>
        <w:trPr>
          <w:trHeight w:val="228"/>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60" w:type="dxa"/>
            <w:vAlign w:val="bottom"/>
          </w:tcPr>
          <w:p>
            <w:pPr>
              <w:spacing w:after="0"/>
              <w:rPr>
                <w:sz w:val="19"/>
                <w:szCs w:val="19"/>
                <w:color w:val="auto"/>
              </w:rPr>
            </w:pPr>
          </w:p>
        </w:tc>
      </w:tr>
      <w:tr>
        <w:trPr>
          <w:trHeight w:val="242"/>
        </w:trPr>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Yield/</w:t>
            </w:r>
          </w:p>
        </w:tc>
      </w:tr>
      <w:tr>
        <w:trPr>
          <w:trHeight w:val="26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Rate</w:t>
            </w:r>
          </w:p>
        </w:tc>
      </w:tr>
      <w:tr>
        <w:trPr>
          <w:trHeight w:val="311"/>
        </w:trPr>
        <w:tc>
          <w:tcPr>
            <w:tcW w:w="53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8"/>
        </w:trPr>
        <w:tc>
          <w:tcPr>
            <w:tcW w:w="532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687,271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7,523</w:t>
            </w:r>
          </w:p>
        </w:tc>
        <w:tc>
          <w:tcPr>
            <w:tcW w:w="560" w:type="dxa"/>
            <w:vAlign w:val="bottom"/>
          </w:tcPr>
          <w:p>
            <w:pPr>
              <w:jc w:val="right"/>
              <w:spacing w:after="0"/>
              <w:rPr>
                <w:sz w:val="20"/>
                <w:szCs w:val="20"/>
                <w:color w:val="auto"/>
              </w:rPr>
            </w:pPr>
            <w:r>
              <w:rPr>
                <w:rFonts w:ascii="Arial" w:cs="Arial" w:eastAsia="Arial" w:hAnsi="Arial"/>
                <w:sz w:val="18"/>
                <w:szCs w:val="18"/>
                <w:color w:val="auto"/>
              </w:rPr>
              <w:t>4.44%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650,398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6,915</w:t>
            </w: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318"/>
        </w:trPr>
        <w:tc>
          <w:tcPr>
            <w:tcW w:w="532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2,829</w:t>
            </w: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6,096</w:t>
            </w: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3.86</w:t>
            </w:r>
          </w:p>
        </w:tc>
      </w:tr>
      <w:tr>
        <w:trPr>
          <w:trHeight w:val="311"/>
        </w:trPr>
        <w:tc>
          <w:tcPr>
            <w:tcW w:w="532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54,502</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294</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14,132</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1.89</w:t>
            </w:r>
          </w:p>
        </w:tc>
      </w:tr>
      <w:tr>
        <w:trPr>
          <w:trHeight w:val="311"/>
        </w:trPr>
        <w:tc>
          <w:tcPr>
            <w:tcW w:w="532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407,262</w:t>
            </w:r>
          </w:p>
        </w:tc>
        <w:tc>
          <w:tcPr>
            <w:tcW w:w="2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3,247</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393,956</w:t>
            </w:r>
          </w:p>
        </w:tc>
        <w:tc>
          <w:tcPr>
            <w:tcW w:w="2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4,002</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4.12</w:t>
            </w: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7,516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6,874</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w:t>
            </w: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106,941</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399</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107,968</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198</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.74</w:t>
            </w:r>
          </w:p>
        </w:tc>
      </w:tr>
      <w:tr>
        <w:trPr>
          <w:trHeight w:val="244"/>
        </w:trPr>
        <w:tc>
          <w:tcPr>
            <w:tcW w:w="53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144,624</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461</w:t>
            </w:r>
          </w:p>
        </w:tc>
        <w:tc>
          <w:tcPr>
            <w:tcW w:w="5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136,610</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170</w:t>
            </w:r>
          </w:p>
        </w:tc>
        <w:tc>
          <w:tcPr>
            <w:tcW w:w="5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Total earning assets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1,410,945</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11,975</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1,316,034</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11,420</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3.52</w:t>
            </w:r>
          </w:p>
        </w:tc>
      </w:tr>
      <w:tr>
        <w:trPr>
          <w:trHeight w:val="251"/>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14,259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13,042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21,797</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21,162</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16,968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16,490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14,520</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13,956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162,286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137,693</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3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(10,208)</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(10,178)</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3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1,630,567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1,508,199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311"/>
        </w:trPr>
        <w:tc>
          <w:tcPr>
            <w:tcW w:w="53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318,996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520</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311,174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326</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10,301</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25,399</w:t>
            </w:r>
          </w:p>
        </w:tc>
        <w:tc>
          <w:tcPr>
            <w:tcW w:w="2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23,386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22,711</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1.09</w:t>
            </w:r>
          </w:p>
        </w:tc>
      </w:tr>
      <w:tr>
        <w:trPr>
          <w:trHeight w:val="237"/>
        </w:trPr>
        <w:tc>
          <w:tcPr>
            <w:tcW w:w="53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29,243</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33,332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63</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w:t>
            </w: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381,926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679</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392,616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480</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r>
      <w:tr>
        <w:trPr>
          <w:trHeight w:val="23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381,926</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679</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392,627</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480</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247,882</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207,438</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741,116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668,578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3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39,960</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32,614</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1,410,884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1,301,257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3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219,683</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206,942</w:t>
            </w: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3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1,630,567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1,508,199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11,296</w:t>
            </w: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10,940</w:t>
            </w:r>
          </w:p>
        </w:tc>
        <w:tc>
          <w:tcPr>
            <w:tcW w:w="560" w:type="dxa"/>
            <w:vAlign w:val="bottom"/>
            <w:shd w:val="clear" w:color="auto" w:fill="C0C0C0"/>
          </w:tcPr>
          <w:p>
            <w:pPr>
              <w:spacing w:after="0"/>
              <w:rPr>
                <w:sz w:val="21"/>
                <w:szCs w:val="21"/>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58"/>
        </w:trPr>
        <w:tc>
          <w:tcPr>
            <w:tcW w:w="53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6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900" w:type="dxa"/>
            <w:vAlign w:val="bottom"/>
            <w:tcBorders>
              <w:bottom w:val="single" w:sz="8" w:color="auto"/>
            </w:tcBorders>
            <w:shd w:val="clear" w:color="auto" w:fill="C0C0C0"/>
          </w:tcPr>
          <w:p>
            <w:pPr>
              <w:spacing w:after="0"/>
              <w:rPr>
                <w:sz w:val="22"/>
                <w:szCs w:val="22"/>
                <w:color w:val="auto"/>
              </w:rPr>
            </w:pPr>
          </w:p>
        </w:tc>
        <w:tc>
          <w:tcPr>
            <w:tcW w:w="5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2.72</w:t>
            </w:r>
          </w:p>
        </w:tc>
        <w:tc>
          <w:tcPr>
            <w:tcW w:w="26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900" w:type="dxa"/>
            <w:vAlign w:val="bottom"/>
            <w:tcBorders>
              <w:bottom w:val="single" w:sz="8" w:color="auto"/>
            </w:tcBorders>
            <w:shd w:val="clear" w:color="auto" w:fill="C0C0C0"/>
          </w:tcPr>
          <w:p>
            <w:pPr>
              <w:spacing w:after="0"/>
              <w:rPr>
                <w:sz w:val="22"/>
                <w:szCs w:val="22"/>
                <w:color w:val="auto"/>
              </w:rPr>
            </w:pPr>
          </w:p>
        </w:tc>
        <w:tc>
          <w:tcPr>
            <w:tcW w:w="5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3.02</w:t>
            </w:r>
          </w:p>
        </w:tc>
      </w:tr>
    </w:tbl>
    <w:p>
      <w:pPr>
        <w:ind w:left="300" w:hanging="292"/>
        <w:spacing w:after="0" w:line="223"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00" w:hanging="292"/>
        <w:spacing w:after="0" w:line="230"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2017 consolidated financial statements, filed with the Company’s 2017 Annual Report on Form 10-K.</w:t>
      </w:r>
    </w:p>
    <w:p>
      <w:pPr>
        <w:ind w:left="300" w:hanging="292"/>
        <w:spacing w:after="0" w:line="183" w:lineRule="auto"/>
        <w:tabs>
          <w:tab w:leader="none" w:pos="300" w:val="left"/>
        </w:tabs>
        <w:numPr>
          <w:ilvl w:val="0"/>
          <w:numId w:val="6"/>
        </w:numPr>
        <w:rPr>
          <w:rFonts w:ascii="Arial" w:cs="Arial" w:eastAsia="Arial" w:hAnsi="Arial"/>
          <w:sz w:val="20"/>
          <w:szCs w:val="20"/>
          <w:color w:val="auto"/>
          <w:vertAlign w:val="superscript"/>
        </w:rPr>
      </w:pPr>
      <w:r>
        <w:rPr>
          <w:rFonts w:ascii="Arial" w:cs="Arial" w:eastAsia="Arial" w:hAnsi="Arial"/>
          <w:sz w:val="11"/>
          <w:szCs w:val="11"/>
          <w:color w:val="auto"/>
        </w:rPr>
        <w:t>Interest income on loans includes net loan fees of $110,000 and $152,000 for the First Quarter of 2018 and 2017, respectively.</w:t>
      </w:r>
    </w:p>
    <w:p>
      <w:pPr>
        <w:spacing w:after="0" w:line="28" w:lineRule="exact"/>
        <w:rPr>
          <w:rFonts w:ascii="Arial" w:cs="Arial" w:eastAsia="Arial" w:hAnsi="Arial"/>
          <w:sz w:val="20"/>
          <w:szCs w:val="20"/>
          <w:color w:val="auto"/>
          <w:vertAlign w:val="superscript"/>
        </w:rPr>
      </w:pPr>
    </w:p>
    <w:p>
      <w:pPr>
        <w:ind w:left="300" w:hanging="292"/>
        <w:spacing w:after="0" w:line="230"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2018 figures assume a tax rate of 21% and 2017 figures assume a tax rate of 35%. The tax-equivalent adjustment was approximately $687,000 and $1,421,000 for the First Quarter of 2018 and 2017, respectively. The TCJA reduced the yield/rate by approximately 60 basis points in 2018.</w:t>
      </w:r>
    </w:p>
    <w:p>
      <w:pPr>
        <w:ind w:left="300" w:hanging="292"/>
        <w:spacing w:after="0" w:line="183" w:lineRule="auto"/>
        <w:tabs>
          <w:tab w:leader="none" w:pos="300" w:val="left"/>
        </w:tabs>
        <w:numPr>
          <w:ilvl w:val="0"/>
          <w:numId w:val="6"/>
        </w:numPr>
        <w:rPr>
          <w:rFonts w:ascii="Arial" w:cs="Arial" w:eastAsia="Arial" w:hAnsi="Arial"/>
          <w:sz w:val="20"/>
          <w:szCs w:val="20"/>
          <w:color w:val="auto"/>
          <w:vertAlign w:val="superscript"/>
        </w:rPr>
      </w:pPr>
      <w:r>
        <w:rPr>
          <w:rFonts w:ascii="Arial" w:cs="Arial" w:eastAsia="Arial" w:hAnsi="Arial"/>
          <w:sz w:val="11"/>
          <w:szCs w:val="11"/>
          <w:color w:val="auto"/>
        </w:rPr>
        <w:t>For purposes of these computations, yields on investment securities are computed as interest income divided by the average amortized cost of the investments.</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center"/>
              <w:ind w:right="112"/>
              <w:spacing w:after="0"/>
              <w:rPr>
                <w:sz w:val="20"/>
                <w:szCs w:val="20"/>
                <w:color w:val="auto"/>
              </w:rPr>
            </w:pPr>
            <w:r>
              <w:rPr>
                <w:rFonts w:ascii="Arial" w:cs="Arial" w:eastAsia="Arial" w:hAnsi="Arial"/>
                <w:sz w:val="18"/>
                <w:szCs w:val="18"/>
                <w:b w:val="1"/>
                <w:bCs w:val="1"/>
                <w:color w:val="auto"/>
                <w:w w:val="91"/>
              </w:rPr>
              <w:t>First Quarter of 2018 Over</w:t>
            </w:r>
          </w:p>
        </w:tc>
      </w:tr>
      <w:tr>
        <w:trPr>
          <w:trHeight w:val="266"/>
        </w:trPr>
        <w:tc>
          <w:tcPr>
            <w:tcW w:w="6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jc w:val="center"/>
              <w:ind w:left="152"/>
              <w:spacing w:after="0"/>
              <w:rPr>
                <w:sz w:val="20"/>
                <w:szCs w:val="20"/>
                <w:color w:val="auto"/>
              </w:rPr>
            </w:pPr>
            <w:r>
              <w:rPr>
                <w:rFonts w:ascii="Arial" w:cs="Arial" w:eastAsia="Arial" w:hAnsi="Arial"/>
                <w:sz w:val="18"/>
                <w:szCs w:val="18"/>
                <w:b w:val="1"/>
                <w:bCs w:val="1"/>
                <w:color w:val="auto"/>
                <w:w w:val="90"/>
              </w:rPr>
              <w:t>First Quarter of 2017</w:t>
            </w:r>
          </w:p>
        </w:tc>
        <w:tc>
          <w:tcPr>
            <w:tcW w:w="440" w:type="dxa"/>
            <w:vAlign w:val="bottom"/>
            <w:tcBorders>
              <w:bottom w:val="single" w:sz="8" w:color="auto"/>
            </w:tcBorders>
          </w:tcPr>
          <w:p>
            <w:pPr>
              <w:spacing w:after="0"/>
              <w:rPr>
                <w:sz w:val="23"/>
                <w:szCs w:val="23"/>
                <w:color w:val="auto"/>
              </w:rPr>
            </w:pPr>
          </w:p>
        </w:tc>
      </w:tr>
      <w:tr>
        <w:trPr>
          <w:trHeight w:val="250"/>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5"/>
              </w:rPr>
              <w:t>Volume</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Rate</w:t>
            </w:r>
          </w:p>
        </w:tc>
        <w:tc>
          <w:tcPr>
            <w:tcW w:w="9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Total</w:t>
            </w:r>
          </w:p>
        </w:tc>
      </w:tr>
      <w:tr>
        <w:trPr>
          <w:trHeight w:val="243"/>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2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r>
      <w:tr>
        <w:trPr>
          <w:trHeight w:val="311"/>
        </w:trPr>
        <w:tc>
          <w:tcPr>
            <w:tcW w:w="640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3"/>
        </w:trPr>
        <w:tc>
          <w:tcPr>
            <w:tcW w:w="64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25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608</w:t>
            </w:r>
          </w:p>
        </w:tc>
      </w:tr>
      <w:tr>
        <w:trPr>
          <w:trHeight w:val="311"/>
        </w:trPr>
        <w:tc>
          <w:tcPr>
            <w:tcW w:w="640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r>
      <w:tr>
        <w:trPr>
          <w:trHeight w:val="235"/>
        </w:trPr>
        <w:tc>
          <w:tcPr>
            <w:tcW w:w="6400" w:type="dxa"/>
            <w:vAlign w:val="bottom"/>
          </w:tcPr>
          <w:p>
            <w:pPr>
              <w:ind w:left="540"/>
              <w:spacing w:after="0"/>
              <w:rPr>
                <w:sz w:val="20"/>
                <w:szCs w:val="20"/>
                <w:color w:val="auto"/>
              </w:rPr>
            </w:pPr>
            <w:r>
              <w:rPr>
                <w:rFonts w:ascii="Arial" w:cs="Arial" w:eastAsia="Arial" w:hAnsi="Arial"/>
                <w:sz w:val="18"/>
                <w:szCs w:val="18"/>
                <w:color w:val="auto"/>
              </w:rPr>
              <w:t>Taxable</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228</w:t>
            </w:r>
          </w:p>
        </w:tc>
      </w:tr>
      <w:tr>
        <w:trPr>
          <w:trHeight w:val="318"/>
        </w:trPr>
        <w:tc>
          <w:tcPr>
            <w:tcW w:w="640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30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(886)</w:t>
            </w:r>
          </w:p>
        </w:tc>
        <w:tc>
          <w:tcPr>
            <w:tcW w:w="460" w:type="dxa"/>
            <w:vAlign w:val="bottom"/>
            <w:shd w:val="clear" w:color="auto" w:fill="C0C0C0"/>
          </w:tcPr>
          <w:p>
            <w:pPr>
              <w:spacing w:after="0"/>
              <w:rPr>
                <w:sz w:val="24"/>
                <w:szCs w:val="24"/>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(755)</w:t>
            </w:r>
          </w:p>
        </w:tc>
      </w:tr>
      <w:tr>
        <w:trPr>
          <w:trHeight w:val="235"/>
        </w:trPr>
        <w:tc>
          <w:tcPr>
            <w:tcW w:w="64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2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201</w:t>
            </w:r>
          </w:p>
        </w:tc>
      </w:tr>
      <w:tr>
        <w:trPr>
          <w:trHeight w:val="237"/>
        </w:trPr>
        <w:tc>
          <w:tcPr>
            <w:tcW w:w="640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23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280</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w:t>
            </w:r>
          </w:p>
        </w:tc>
      </w:tr>
      <w:tr>
        <w:trPr>
          <w:trHeight w:val="237"/>
        </w:trPr>
        <w:tc>
          <w:tcPr>
            <w:tcW w:w="64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23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729</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(174)</w:t>
            </w:r>
          </w:p>
        </w:tc>
        <w:tc>
          <w:tcPr>
            <w:tcW w:w="46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555</w:t>
            </w: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Interest expense on:</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2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186</w:t>
            </w:r>
          </w:p>
        </w:tc>
        <w:tc>
          <w:tcPr>
            <w:tcW w:w="4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194</w:t>
            </w:r>
          </w:p>
        </w:tc>
      </w:tr>
      <w:tr>
        <w:trPr>
          <w:trHeight w:val="235"/>
        </w:trPr>
        <w:tc>
          <w:tcPr>
            <w:tcW w:w="64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of &gt;=$100</w:t>
            </w:r>
          </w:p>
        </w:tc>
        <w:tc>
          <w:tcPr>
            <w:tcW w:w="2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w:t>
            </w:r>
          </w:p>
        </w:tc>
      </w:tr>
      <w:tr>
        <w:trPr>
          <w:trHeight w:val="237"/>
        </w:trPr>
        <w:tc>
          <w:tcPr>
            <w:tcW w:w="640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time deposits</w:t>
            </w:r>
          </w:p>
        </w:tc>
        <w:tc>
          <w:tcPr>
            <w:tcW w:w="23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64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23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220</w:t>
            </w:r>
          </w:p>
        </w:tc>
        <w:tc>
          <w:tcPr>
            <w:tcW w:w="46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199</w:t>
            </w:r>
          </w:p>
        </w:tc>
      </w:tr>
      <w:tr>
        <w:trPr>
          <w:trHeight w:val="228"/>
        </w:trPr>
        <w:tc>
          <w:tcPr>
            <w:tcW w:w="6400" w:type="dxa"/>
            <w:vAlign w:val="bottom"/>
          </w:tcPr>
          <w:p>
            <w:pPr>
              <w:spacing w:after="0"/>
              <w:rPr>
                <w:sz w:val="20"/>
                <w:szCs w:val="20"/>
                <w:color w:val="auto"/>
              </w:rPr>
            </w:pPr>
            <w:r>
              <w:rPr>
                <w:rFonts w:ascii="Arial" w:cs="Arial" w:eastAsia="Arial" w:hAnsi="Arial"/>
                <w:sz w:val="18"/>
                <w:szCs w:val="18"/>
                <w:color w:val="auto"/>
              </w:rPr>
              <w:t>Net interest income</w:t>
            </w:r>
          </w:p>
        </w:tc>
        <w:tc>
          <w:tcPr>
            <w:tcW w:w="2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spacing w:after="0" w:line="11" w:lineRule="exact"/>
        <w:rPr>
          <w:rFonts w:ascii="Arial" w:cs="Arial" w:eastAsia="Arial" w:hAnsi="Arial"/>
          <w:sz w:val="14"/>
          <w:szCs w:val="14"/>
          <w:color w:val="auto"/>
        </w:rPr>
      </w:pPr>
    </w:p>
    <w:p>
      <w:pPr>
        <w:ind w:left="300" w:hanging="292"/>
        <w:spacing w:after="0" w:line="183" w:lineRule="auto"/>
        <w:tabs>
          <w:tab w:leader="none" w:pos="300" w:val="left"/>
        </w:tabs>
        <w:numPr>
          <w:ilvl w:val="0"/>
          <w:numId w:val="7"/>
        </w:numPr>
        <w:rPr>
          <w:rFonts w:ascii="Arial" w:cs="Arial" w:eastAsia="Arial" w:hAnsi="Arial"/>
          <w:sz w:val="20"/>
          <w:szCs w:val="20"/>
          <w:color w:val="auto"/>
          <w:vertAlign w:val="superscript"/>
        </w:rPr>
      </w:pPr>
      <w:r>
        <w:rPr>
          <w:rFonts w:ascii="Arial" w:cs="Arial" w:eastAsia="Arial" w:hAnsi="Arial"/>
          <w:sz w:val="11"/>
          <w:szCs w:val="11"/>
          <w:color w:val="auto"/>
        </w:rPr>
        <w:t>Interest income includes net loan fees.</w:t>
      </w:r>
    </w:p>
    <w:p>
      <w:pPr>
        <w:spacing w:after="0" w:line="55" w:lineRule="exact"/>
        <w:rPr>
          <w:rFonts w:ascii="Arial" w:cs="Arial" w:eastAsia="Arial" w:hAnsi="Arial"/>
          <w:sz w:val="20"/>
          <w:szCs w:val="20"/>
          <w:color w:val="auto"/>
          <w:vertAlign w:val="superscript"/>
        </w:rPr>
      </w:pPr>
    </w:p>
    <w:p>
      <w:pPr>
        <w:ind w:left="300" w:hanging="292"/>
        <w:spacing w:after="0" w:line="185" w:lineRule="auto"/>
        <w:tabs>
          <w:tab w:leader="none" w:pos="300" w:val="left"/>
        </w:tabs>
        <w:numPr>
          <w:ilvl w:val="0"/>
          <w:numId w:val="7"/>
        </w:numPr>
        <w:rPr>
          <w:rFonts w:ascii="Arial" w:cs="Arial" w:eastAsia="Arial" w:hAnsi="Arial"/>
          <w:sz w:val="18"/>
          <w:szCs w:val="18"/>
          <w:color w:val="auto"/>
          <w:vertAlign w:val="superscript"/>
        </w:rPr>
      </w:pPr>
      <w:r>
        <w:rPr>
          <w:rFonts w:ascii="Arial" w:cs="Arial" w:eastAsia="Arial" w:hAnsi="Arial"/>
          <w:sz w:val="10"/>
          <w:szCs w:val="10"/>
          <w:color w:val="auto"/>
        </w:rPr>
        <w:t>Interest income is presented on a tax-equivalent basis assuming a tax rate of 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no loan loss provision recorded in the First Quarter of 2018 or the First Quarter of 2017. As discussed below, the Company continually analyzes the outstanding loan portfolio based on the performance, financial condition and collateralization of the credits. Net loan recoveries during the First Quarter of 2018 were $5,000, and net loan recoveries during the First Quarter of 2017 were $16,000.</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ALLL at March 31, 2018 was $10,210,000 and at December 31, 2017 was $10,205,000. The ratio of ALLL to total loans outstanding at March 31, 2018 was 1.45% compared to 1.49% at December 31, 2017. There were no nonperforming loans at March 31, 2018 or December 31, 2017.</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20"/>
                <w:szCs w:val="20"/>
                <w:color w:val="auto"/>
              </w:rPr>
            </w:pPr>
            <w:r>
              <w:rPr>
                <w:rFonts w:ascii="Arial" w:cs="Arial" w:eastAsia="Arial" w:hAnsi="Arial"/>
                <w:sz w:val="18"/>
                <w:szCs w:val="18"/>
                <w:b w:val="1"/>
                <w:bCs w:val="1"/>
                <w:color w:val="auto"/>
              </w:rPr>
              <w:t>Summary of Asset Quality</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w w:val="96"/>
              </w:rPr>
              <w:t>The following table presents information on the Company's provision for loan losses and analysis of the ALLL:</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8"/>
        </w:trPr>
        <w:tc>
          <w:tcPr>
            <w:tcW w:w="8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b w:val="1"/>
                <w:bCs w:val="1"/>
                <w:color w:val="auto"/>
              </w:rPr>
              <w:t>First Quarter of</w:t>
            </w:r>
          </w:p>
        </w:tc>
      </w:tr>
      <w:tr>
        <w:trPr>
          <w:trHeight w:val="250"/>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10,205</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Provision</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51"/>
        </w:trPr>
        <w:tc>
          <w:tcPr>
            <w:tcW w:w="8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charged off</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Recoveries on loans previously charged off</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Net (charge-offs) recoveries</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w:t>
            </w:r>
          </w:p>
        </w:tc>
      </w:tr>
      <w:tr>
        <w:trPr>
          <w:trHeight w:val="237"/>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10,210</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10,191</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460" w:type="dxa"/>
            <w:vAlign w:val="bottom"/>
          </w:tcPr>
          <w:p>
            <w:pPr>
              <w:ind w:left="280"/>
              <w:spacing w:after="0"/>
              <w:rPr>
                <w:sz w:val="20"/>
                <w:szCs w:val="20"/>
                <w:color w:val="auto"/>
              </w:rPr>
            </w:pPr>
            <w:r>
              <w:rPr>
                <w:rFonts w:ascii="Arial" w:cs="Arial" w:eastAsia="Arial" w:hAnsi="Arial"/>
                <w:sz w:val="18"/>
                <w:szCs w:val="18"/>
                <w:color w:val="auto"/>
              </w:rPr>
              <w:t>Average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690,100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656,494</w:t>
            </w:r>
          </w:p>
        </w:tc>
      </w:tr>
      <w:tr>
        <w:trPr>
          <w:trHeight w:val="251"/>
        </w:trPr>
        <w:tc>
          <w:tcPr>
            <w:tcW w:w="8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March 31</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702,000</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675,380</w:t>
            </w: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8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Average</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w:t>
            </w:r>
          </w:p>
        </w:tc>
      </w:tr>
      <w:tr>
        <w:trPr>
          <w:trHeight w:val="235"/>
        </w:trPr>
        <w:tc>
          <w:tcPr>
            <w:tcW w:w="8460" w:type="dxa"/>
            <w:vAlign w:val="bottom"/>
          </w:tcPr>
          <w:p>
            <w:pPr>
              <w:ind w:left="280"/>
              <w:spacing w:after="0"/>
              <w:rPr>
                <w:sz w:val="20"/>
                <w:szCs w:val="20"/>
                <w:color w:val="auto"/>
              </w:rPr>
            </w:pPr>
            <w:r>
              <w:rPr>
                <w:rFonts w:ascii="Arial" w:cs="Arial" w:eastAsia="Arial" w:hAnsi="Arial"/>
                <w:sz w:val="18"/>
                <w:szCs w:val="18"/>
                <w:color w:val="auto"/>
              </w:rPr>
              <w:t>March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1.51</w:t>
            </w:r>
          </w:p>
        </w:tc>
      </w:tr>
      <w:tr>
        <w:trPr>
          <w:trHeight w:val="251"/>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460" w:type="dxa"/>
            <w:vAlign w:val="bottom"/>
          </w:tcPr>
          <w:p>
            <w:pPr>
              <w:ind w:left="280"/>
              <w:spacing w:after="0"/>
              <w:rPr>
                <w:sz w:val="20"/>
                <w:szCs w:val="20"/>
                <w:color w:val="auto"/>
              </w:rPr>
            </w:pPr>
            <w:r>
              <w:rPr>
                <w:rFonts w:ascii="Arial" w:cs="Arial" w:eastAsia="Arial" w:hAnsi="Arial"/>
                <w:sz w:val="18"/>
                <w:szCs w:val="18"/>
                <w:color w:val="auto"/>
              </w:rPr>
              <w:t>Nonaccrual loans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231</w:t>
            </w:r>
          </w:p>
        </w:tc>
      </w:tr>
      <w:tr>
        <w:trPr>
          <w:trHeight w:val="251"/>
        </w:trPr>
        <w:tc>
          <w:tcPr>
            <w:tcW w:w="8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past due 90 days or more</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Troubled debt restructurings</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impaired loans</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231</w:t>
            </w:r>
          </w:p>
        </w:tc>
      </w:tr>
      <w:tr>
        <w:trPr>
          <w:trHeight w:val="237"/>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8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62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March 31, 2018 and March 31,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First Quarter of 2018 were up 7.7%, or $1,864,000, compared to the First Quarter of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expense for the First Quarter of 2018 increased 8.4% to $20,382,000 compared to the First Quarter of 2017 due to significant expenditures in new technology and infrastructure to support future service growth, annual merit salary increases, and increased retirement plan costs. Outside service expense also increased $261,000 as a result of new strategic partnerships and professional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assets at March 31, 2018 were $1,650,802,000, a decrease of $6,407,000, or 0.4%, from December 31, 2017. The most significant changes in asset balances during this period were decreases in cash and cash equivalents of $28,528,000 and securities of $15,542,000. This decrease was offset by increases in payments in excess of funding of $18,454,000 and loans of $15,764,000. Changes in cash and cash equivalents reflect the Company’s daily liquidity position and are affected by the changes in the other asset balances and changes in deposit and accounts and drafts payable balances.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liabilities at March 31, 2018 were $1,428,380,000, a decrease of $3,741,000, or 0.3%, from December 31, 2017. Total deposits at March 31, 2018 were $639,243,000, a decrease of $38,845,000, or 5.7%, from December 31, 2017. Accounts and drafts payable at March 31, 2018 were $747,455,000, an increase of $31,567,000, or 4.4%, from December 31, 2017. Total shareholders’ equity at March 31, 2018 was $222,422,000, a $2,666,000, or 1.2%, decrease from December 31, 2017. Total shareholders’ equity decreased as a result of the change in accumulated other comprehensive loss of $7,418,000 and dividends paid of $2,948,000. These were offset by net income of $8,092,000.</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checks clear and higher balances on days when checks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money market funds, and was $199,582,000 at March 31, 2018, a decrease of $28,528,000, or 12.5%, from December 31, 2017. At March 31, 2018, these assets represented 12.1% of total assets. These funds are the Company’s and its subsidiaries’ primary source of liquidity to meet future expected and unexpected loan demand, depositor withdrawals or reductions in accounts and drafts payable. Changes in the Company’s daily liquidity position are affected by the changes in the other asset balances and changes in deposit and accounts and drafts payable balances.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$454,981,000 at March 31, 2018, a decrease of $15,542,000 from December 31, 2017. These assets represented 27.6% of total assets at March 31, 2018. Of this total, 87% were state and political subdivision securities. Of the total portfolio, 3.6% mature in one year, 14.3% mature in one to five years, and 82.1% mature in five or more years</w:t>
      </w:r>
      <w:r>
        <w:rPr>
          <w:rFonts w:ascii="Arial" w:cs="Arial" w:eastAsia="Arial" w:hAnsi="Arial"/>
          <w:sz w:val="16"/>
          <w:szCs w:val="16"/>
          <w:i w:val="1"/>
          <w:iCs w:val="1"/>
          <w:color w:val="auto"/>
        </w:rPr>
        <w: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$68,000,000 at the following banks: US Bank, $20,000,000; Wells Fargo Bank, $15,000,000; Frost National Bank, $10,000,000; PNC Bank, $12,000,000; UMB Bank, $5,000,000; and JPM Chase Bank, $6,000,000. The Bank also has secured lines of credit with the Federal Home Loan Bank of $204,109,000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March 31, 2018 or December 31, 2017.</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$28,479,000 of CDARS deposits and interest-bearing demand deposits include $80,665,000 of ICS deposits. These programs offer the Bank’s customers the ability to maximize Federal Deposit Insurance Corporation (“FDIC”) insurance coverage. The Company uses these programs to retain or attract deposits from existing customers.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flows provided by operating activities were $18,159,000 for the three months ended March 31, 2018, compared to $5,621,000 for the three months ended March 31, 2017, an increase of $12,538,000.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2018, which are estimated to range from $6 million to $9 million.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by that amount each subsequent January 1 until fully implemented at 2.5% on January 1,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Pr>
          <w:p>
            <w:pPr>
              <w:spacing w:after="0"/>
              <w:rPr>
                <w:sz w:val="21"/>
                <w:szCs w:val="21"/>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December 31, 2017</w:t>
            </w:r>
          </w:p>
        </w:tc>
      </w:tr>
      <w:tr>
        <w:trPr>
          <w:trHeight w:val="250"/>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Ratio</w:t>
            </w:r>
          </w:p>
        </w:tc>
        <w:tc>
          <w:tcPr>
            <w:tcW w:w="26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Ratio</w:t>
            </w:r>
          </w:p>
        </w:tc>
      </w:tr>
      <w:tr>
        <w:trPr>
          <w:trHeight w:val="243"/>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239,275</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21.37%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234,389</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22.53%</w:t>
            </w:r>
          </w:p>
        </w:tc>
      </w:tr>
      <w:tr>
        <w:trPr>
          <w:trHeight w:val="251"/>
        </w:trPr>
        <w:tc>
          <w:tcPr>
            <w:tcW w:w="7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126,323</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17.70%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122,440</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17.01%</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7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229,065</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20.45%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224,184</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21.55%</w:t>
            </w: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118,481</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16.60%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114,603</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15.93%</w:t>
            </w:r>
          </w:p>
        </w:tc>
      </w:tr>
      <w:tr>
        <w:trPr>
          <w:trHeight w:val="251"/>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229,065</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20.45%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224,184</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21.55%</w:t>
            </w:r>
          </w:p>
        </w:tc>
      </w:tr>
      <w:tr>
        <w:trPr>
          <w:trHeight w:val="251"/>
        </w:trPr>
        <w:tc>
          <w:tcPr>
            <w:tcW w:w="7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118,481</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16.60%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114,603</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15.93%</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Tier I capital (to leverage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7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229,065</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14.05%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224,184</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13.87%</w:t>
            </w:r>
          </w:p>
        </w:tc>
      </w:tr>
      <w:tr>
        <w:trPr>
          <w:trHeight w:val="250"/>
        </w:trPr>
        <w:tc>
          <w:tcPr>
            <w:tcW w:w="7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118,481</w:t>
            </w:r>
          </w:p>
        </w:tc>
        <w:tc>
          <w:tcPr>
            <w:tcW w:w="6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15.13%</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114,603</w:t>
            </w:r>
          </w:p>
        </w:tc>
        <w:tc>
          <w:tcPr>
            <w:tcW w:w="6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14.99%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Accounting Standards Update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impact of the adoption of this ASU is currently being evaluated but is not expected to have a material impact on the Company’s consolidated financial statements or results of operations.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2017,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Based on the Company's most recent evaluation, management does not believe the Company's risk position at March 31, 2018 has changed materially from that at December 31, 2017.</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First Quarter of 2018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1" w:lineRule="exact"/>
        <w:rPr>
          <w:sz w:val="20"/>
          <w:szCs w:val="20"/>
          <w:color w:val="auto"/>
        </w:rPr>
      </w:pPr>
    </w:p>
    <w:p>
      <w:pPr>
        <w:ind w:left="880" w:right="28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 w:lineRule="exact"/>
        <w:rPr>
          <w:sz w:val="20"/>
          <w:szCs w:val="20"/>
          <w:color w:val="auto"/>
        </w:rPr>
      </w:pPr>
    </w:p>
    <w:p>
      <w:pPr>
        <w:ind w:left="88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2017, a description of certain risks and uncertainties that could affect the Company’s business, future performance or financial condition (the “Risk Factors”). There are no material changes to the Risk Factors as disclosed in the Company’s 2017 Annual Report on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1" w:lineRule="exact"/>
        <w:rPr>
          <w:sz w:val="20"/>
          <w:szCs w:val="20"/>
          <w:color w:val="auto"/>
        </w:rPr>
      </w:pPr>
    </w:p>
    <w:p>
      <w:pPr>
        <w:ind w:left="880" w:right="160"/>
        <w:spacing w:after="0" w:line="251" w:lineRule="auto"/>
        <w:rPr>
          <w:sz w:val="20"/>
          <w:szCs w:val="20"/>
          <w:color w:val="auto"/>
        </w:rPr>
      </w:pPr>
      <w:r>
        <w:rPr>
          <w:rFonts w:ascii="Arial" w:cs="Arial" w:eastAsia="Arial" w:hAnsi="Arial"/>
          <w:sz w:val="18"/>
          <w:szCs w:val="18"/>
          <w:color w:val="auto"/>
        </w:rPr>
        <w:t>During the three months ended March 31, 2018, the Company repurchased a total of 9,547 shares of its common stock pursuant to its treasury stock buyback program, as follows:</w:t>
      </w:r>
    </w:p>
    <w:tbl>
      <w:tblPr>
        <w:tblLayout w:type="fixed"/>
        <w:tblInd w:w="88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20" w:type="dxa"/>
            <w:vAlign w:val="bottom"/>
          </w:tcPr>
          <w:p>
            <w:pPr>
              <w:jc w:val="center"/>
              <w:ind w:left="72"/>
              <w:spacing w:after="0"/>
              <w:rPr>
                <w:sz w:val="20"/>
                <w:szCs w:val="20"/>
                <w:color w:val="auto"/>
              </w:rPr>
            </w:pPr>
            <w:r>
              <w:rPr>
                <w:rFonts w:ascii="Arial" w:cs="Arial" w:eastAsia="Arial" w:hAnsi="Arial"/>
                <w:sz w:val="18"/>
                <w:szCs w:val="18"/>
                <w:b w:val="1"/>
                <w:bCs w:val="1"/>
                <w:color w:val="auto"/>
                <w:w w:val="93"/>
              </w:rPr>
              <w:t>Maximum</w:t>
            </w:r>
          </w:p>
        </w:tc>
      </w:tr>
      <w:tr>
        <w:trPr>
          <w:trHeight w:val="243"/>
        </w:trPr>
        <w:tc>
          <w:tcPr>
            <w:tcW w:w="44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Number of</w:t>
            </w:r>
          </w:p>
        </w:tc>
      </w:tr>
      <w:tr>
        <w:trPr>
          <w:trHeight w:val="243"/>
        </w:trPr>
        <w:tc>
          <w:tcPr>
            <w:tcW w:w="44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Purchased as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5"/>
              </w:rPr>
              <w:t>Shares that</w:t>
            </w:r>
          </w:p>
        </w:tc>
      </w:tr>
      <w:tr>
        <w:trPr>
          <w:trHeight w:val="243"/>
        </w:trPr>
        <w:tc>
          <w:tcPr>
            <w:tcW w:w="44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May Yet Be</w:t>
            </w:r>
          </w:p>
        </w:tc>
      </w:tr>
      <w:tr>
        <w:trPr>
          <w:trHeight w:val="243"/>
        </w:trPr>
        <w:tc>
          <w:tcPr>
            <w:tcW w:w="4420" w:type="dxa"/>
            <w:vAlign w:val="bottom"/>
          </w:tcPr>
          <w:p>
            <w:pPr>
              <w:spacing w:after="0"/>
              <w:rPr>
                <w:sz w:val="21"/>
                <w:szCs w:val="21"/>
                <w:color w:val="auto"/>
              </w:rPr>
            </w:pPr>
          </w:p>
        </w:tc>
        <w:tc>
          <w:tcPr>
            <w:tcW w:w="2360" w:type="dxa"/>
            <w:vAlign w:val="bottom"/>
          </w:tcPr>
          <w:p>
            <w:pPr>
              <w:jc w:val="center"/>
              <w:ind w:left="1192"/>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Purchased</w:t>
            </w:r>
          </w:p>
        </w:tc>
      </w:tr>
      <w:tr>
        <w:trPr>
          <w:trHeight w:val="243"/>
        </w:trPr>
        <w:tc>
          <w:tcPr>
            <w:tcW w:w="4420" w:type="dxa"/>
            <w:vAlign w:val="bottom"/>
          </w:tcPr>
          <w:p>
            <w:pPr>
              <w:spacing w:after="0"/>
              <w:rPr>
                <w:sz w:val="21"/>
                <w:szCs w:val="21"/>
                <w:color w:val="auto"/>
              </w:rPr>
            </w:pPr>
          </w:p>
        </w:tc>
        <w:tc>
          <w:tcPr>
            <w:tcW w:w="2360" w:type="dxa"/>
            <w:vAlign w:val="bottom"/>
          </w:tcPr>
          <w:p>
            <w:pPr>
              <w:jc w:val="center"/>
              <w:ind w:left="1192"/>
              <w:spacing w:after="0"/>
              <w:rPr>
                <w:sz w:val="20"/>
                <w:szCs w:val="20"/>
                <w:color w:val="auto"/>
              </w:rPr>
            </w:pPr>
            <w:r>
              <w:rPr>
                <w:rFonts w:ascii="Arial" w:cs="Arial" w:eastAsia="Arial" w:hAnsi="Arial"/>
                <w:sz w:val="18"/>
                <w:szCs w:val="18"/>
                <w:b w:val="1"/>
                <w:bCs w:val="1"/>
                <w:color w:val="auto"/>
                <w:w w:val="88"/>
              </w:rPr>
              <w:t>Number of</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Under the</w:t>
            </w:r>
          </w:p>
        </w:tc>
      </w:tr>
      <w:tr>
        <w:trPr>
          <w:trHeight w:val="243"/>
        </w:trPr>
        <w:tc>
          <w:tcPr>
            <w:tcW w:w="4420" w:type="dxa"/>
            <w:vAlign w:val="bottom"/>
          </w:tcPr>
          <w:p>
            <w:pPr>
              <w:spacing w:after="0"/>
              <w:rPr>
                <w:sz w:val="21"/>
                <w:szCs w:val="21"/>
                <w:color w:val="auto"/>
              </w:rPr>
            </w:pPr>
          </w:p>
        </w:tc>
        <w:tc>
          <w:tcPr>
            <w:tcW w:w="2360" w:type="dxa"/>
            <w:vAlign w:val="bottom"/>
          </w:tcPr>
          <w:p>
            <w:pPr>
              <w:jc w:val="center"/>
              <w:ind w:left="1192"/>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Average 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2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Plans or</w:t>
            </w:r>
          </w:p>
        </w:tc>
      </w:tr>
      <w:tr>
        <w:trPr>
          <w:trHeight w:val="333"/>
        </w:trPr>
        <w:tc>
          <w:tcPr>
            <w:tcW w:w="442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Period</w:t>
            </w:r>
          </w:p>
        </w:tc>
        <w:tc>
          <w:tcPr>
            <w:tcW w:w="2360" w:type="dxa"/>
            <w:vAlign w:val="bottom"/>
            <w:tcBorders>
              <w:bottom w:val="single" w:sz="8" w:color="auto"/>
            </w:tcBorders>
          </w:tcPr>
          <w:p>
            <w:pPr>
              <w:jc w:val="center"/>
              <w:ind w:left="1232"/>
              <w:spacing w:after="0"/>
              <w:rPr>
                <w:sz w:val="20"/>
                <w:szCs w:val="20"/>
                <w:color w:val="auto"/>
              </w:rPr>
            </w:pPr>
            <w:r>
              <w:rPr>
                <w:rFonts w:ascii="Arial" w:cs="Arial" w:eastAsia="Arial" w:hAnsi="Arial"/>
                <w:sz w:val="18"/>
                <w:szCs w:val="18"/>
                <w:b w:val="1"/>
                <w:bCs w:val="1"/>
                <w:color w:val="auto"/>
                <w:w w:val="86"/>
              </w:rPr>
              <w:t>Purchased</w:t>
            </w:r>
          </w:p>
        </w:tc>
        <w:tc>
          <w:tcPr>
            <w:tcW w:w="14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9"/>
              </w:rPr>
              <w:t>Paid per Share</w:t>
            </w:r>
          </w:p>
        </w:tc>
        <w:tc>
          <w:tcPr>
            <w:tcW w:w="1320" w:type="dxa"/>
            <w:vAlign w:val="bottom"/>
            <w:tcBorders>
              <w:bottom w:val="single" w:sz="8" w:color="auto"/>
            </w:tcBorders>
          </w:tcPr>
          <w:p>
            <w:pPr>
              <w:jc w:val="center"/>
              <w:spacing w:after="0" w:line="326"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9"/>
                <w:szCs w:val="29"/>
                <w:b w:val="1"/>
                <w:bCs w:val="1"/>
                <w:color w:val="auto"/>
                <w:w w:val="86"/>
                <w:vertAlign w:val="superscript"/>
              </w:rPr>
              <w:t>1</w:t>
            </w:r>
          </w:p>
        </w:tc>
        <w:tc>
          <w:tcPr>
            <w:tcW w:w="102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8"/>
              </w:rPr>
              <w:t>Programs</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January 1, 2018 – January 31, 2018</w:t>
            </w:r>
          </w:p>
        </w:tc>
        <w:tc>
          <w:tcPr>
            <w:tcW w:w="2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500,000</w:t>
            </w: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February 1, 2018– February 28, 2018</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9,547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55.44</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9,547</w:t>
            </w:r>
          </w:p>
        </w:tc>
        <w:tc>
          <w:tcPr>
            <w:tcW w:w="1020" w:type="dxa"/>
            <w:vAlign w:val="bottom"/>
          </w:tcPr>
          <w:p>
            <w:pPr>
              <w:jc w:val="right"/>
              <w:spacing w:after="0"/>
              <w:rPr>
                <w:sz w:val="20"/>
                <w:szCs w:val="20"/>
                <w:color w:val="auto"/>
              </w:rPr>
            </w:pPr>
            <w:r>
              <w:rPr>
                <w:rFonts w:ascii="Arial" w:cs="Arial" w:eastAsia="Arial" w:hAnsi="Arial"/>
                <w:sz w:val="18"/>
                <w:szCs w:val="18"/>
                <w:color w:val="auto"/>
              </w:rPr>
              <w:t>490,453</w:t>
            </w:r>
          </w:p>
        </w:tc>
      </w:tr>
      <w:tr>
        <w:trPr>
          <w:trHeight w:val="244"/>
        </w:trPr>
        <w:tc>
          <w:tcPr>
            <w:tcW w:w="4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March 1, 2018 – March 31, 2018</w:t>
            </w:r>
          </w:p>
        </w:tc>
        <w:tc>
          <w:tcPr>
            <w:tcW w:w="23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490,453</w:t>
            </w:r>
          </w:p>
        </w:tc>
      </w:tr>
      <w:tr>
        <w:trPr>
          <w:trHeight w:val="228"/>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9,547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55.44</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9,547</w:t>
            </w:r>
          </w:p>
        </w:tc>
        <w:tc>
          <w:tcPr>
            <w:tcW w:w="1020" w:type="dxa"/>
            <w:vAlign w:val="bottom"/>
          </w:tcPr>
          <w:p>
            <w:pPr>
              <w:jc w:val="right"/>
              <w:spacing w:after="0"/>
              <w:rPr>
                <w:sz w:val="20"/>
                <w:szCs w:val="20"/>
                <w:color w:val="auto"/>
              </w:rPr>
            </w:pPr>
            <w:r>
              <w:rPr>
                <w:rFonts w:ascii="Arial" w:cs="Arial" w:eastAsia="Arial" w:hAnsi="Arial"/>
                <w:sz w:val="18"/>
                <w:szCs w:val="18"/>
                <w:color w:val="auto"/>
              </w:rPr>
              <w:t>490,453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wp:posOffset>
            </wp:positionV>
            <wp:extent cx="66979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7980" cy="17145"/>
                    </a:xfrm>
                    <a:prstGeom prst="rect">
                      <a:avLst/>
                    </a:prstGeom>
                    <a:noFill/>
                  </pic:spPr>
                </pic:pic>
              </a:graphicData>
            </a:graphic>
          </wp:anchor>
        </w:drawing>
      </w:r>
    </w:p>
    <w:p>
      <w:pPr>
        <w:spacing w:after="0" w:line="12" w:lineRule="exact"/>
        <w:rPr>
          <w:sz w:val="20"/>
          <w:szCs w:val="20"/>
          <w:color w:val="auto"/>
        </w:rPr>
      </w:pPr>
    </w:p>
    <w:p>
      <w:pPr>
        <w:jc w:val="both"/>
        <w:ind w:left="1220" w:hanging="348"/>
        <w:spacing w:after="0" w:line="278" w:lineRule="auto"/>
        <w:tabs>
          <w:tab w:leader="none" w:pos="12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repurchases made during the quarter ended March 31, 2018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24, 2017 to restore the aggregate number of shares available for repurchase to 500,000.</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29" w:lineRule="exact"/>
        <w:rPr>
          <w:sz w:val="20"/>
          <w:szCs w:val="20"/>
          <w:color w:val="auto"/>
        </w:rPr>
      </w:pPr>
    </w:p>
    <w:p>
      <w:pPr>
        <w:ind w:left="1140" w:hanging="268"/>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2" w:lineRule="exact"/>
        <w:rPr>
          <w:rFonts w:ascii="Arial" w:cs="Arial" w:eastAsia="Arial" w:hAnsi="Arial"/>
          <w:sz w:val="18"/>
          <w:szCs w:val="18"/>
          <w:color w:val="auto"/>
        </w:rPr>
      </w:pPr>
    </w:p>
    <w:p>
      <w:pPr>
        <w:ind w:left="1140" w:hanging="268"/>
        <w:spacing w:after="0" w:line="26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First Quarter of 2018.</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58" w:lineRule="exact"/>
        <w:rPr>
          <w:sz w:val="20"/>
          <w:szCs w:val="20"/>
          <w:color w:val="auto"/>
        </w:rPr>
      </w:pPr>
    </w:p>
    <w:p>
      <w:pPr>
        <w:ind w:left="8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 31.1 Certification Pursuant to Section 302 of the Sarbanes-Oxley Act of 2002.</w:t>
        </w:r>
      </w:hyperlink>
    </w:p>
    <w:p>
      <w:pPr>
        <w:spacing w:after="0" w:line="252" w:lineRule="exact"/>
        <w:rPr>
          <w:sz w:val="20"/>
          <w:szCs w:val="20"/>
          <w:color w:val="auto"/>
        </w:rPr>
      </w:pPr>
    </w:p>
    <w:p>
      <w:pPr>
        <w:ind w:left="8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 31.2 Certification Pursuant to Section 302 of the Sarbanes-Oxley Act of 2002.</w:t>
        </w:r>
      </w:hyperlink>
    </w:p>
    <w:p>
      <w:pPr>
        <w:spacing w:after="0" w:line="252" w:lineRule="exact"/>
        <w:rPr>
          <w:sz w:val="20"/>
          <w:szCs w:val="20"/>
          <w:color w:val="auto"/>
        </w:rPr>
      </w:pPr>
    </w:p>
    <w:p>
      <w:pPr>
        <w:ind w:left="88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Exhibit 32.1 Certification Pursuant to 18 U.S.C. Section 1350, as Adopted Pursuant to Section 906 of the Sarbanes-Oxley Act of 2002.</w:t>
        </w:r>
      </w:hyperlink>
    </w:p>
    <w:p>
      <w:pPr>
        <w:spacing w:after="0" w:line="275" w:lineRule="exact"/>
        <w:rPr>
          <w:sz w:val="20"/>
          <w:szCs w:val="20"/>
          <w:color w:val="auto"/>
        </w:rPr>
      </w:pPr>
    </w:p>
    <w:p>
      <w:pPr>
        <w:ind w:left="88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Exhibit 32.2 Certification Pursuant to 18 U.S.C. Section 1350, as Adopted Pursuant to Section 906 of the Sarbanes-Oxley Act of 2002.</w:t>
        </w:r>
      </w:hyperlink>
    </w:p>
    <w:p>
      <w:pPr>
        <w:spacing w:after="0" w:line="2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101.INS XBRL Instance Document.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101.SCH XBRL Taxonomy Extension Schema Document.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ind w:left="2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7900" w:type="dxa"/>
            <w:vAlign w:val="bottom"/>
            <w:gridSpan w:val="2"/>
          </w:tcPr>
          <w:p>
            <w:pPr>
              <w:ind w:left="2080"/>
              <w:spacing w:after="0"/>
              <w:rPr>
                <w:sz w:val="20"/>
                <w:szCs w:val="20"/>
                <w:color w:val="auto"/>
              </w:rPr>
            </w:pPr>
            <w:r>
              <w:rPr>
                <w:rFonts w:ascii="Arial" w:cs="Arial" w:eastAsia="Arial" w:hAnsi="Arial"/>
                <w:sz w:val="18"/>
                <w:szCs w:val="18"/>
                <w:color w:val="auto"/>
              </w:rPr>
              <w:t>CASS INFORMATION SYSTEMS, INC.</w:t>
            </w:r>
          </w:p>
        </w:tc>
      </w:tr>
      <w:tr>
        <w:trPr>
          <w:trHeight w:val="495"/>
        </w:trPr>
        <w:tc>
          <w:tcPr>
            <w:tcW w:w="3520" w:type="dxa"/>
            <w:vAlign w:val="bottom"/>
          </w:tcPr>
          <w:p>
            <w:pPr>
              <w:spacing w:after="0"/>
              <w:rPr>
                <w:sz w:val="20"/>
                <w:szCs w:val="20"/>
                <w:color w:val="auto"/>
              </w:rPr>
            </w:pPr>
            <w:r>
              <w:rPr>
                <w:rFonts w:ascii="Arial" w:cs="Arial" w:eastAsia="Arial" w:hAnsi="Arial"/>
                <w:sz w:val="18"/>
                <w:szCs w:val="18"/>
                <w:color w:val="auto"/>
              </w:rPr>
              <w:t>DATE: May 8, 2018</w:t>
            </w:r>
          </w:p>
        </w:tc>
        <w:tc>
          <w:tcPr>
            <w:tcW w:w="2380" w:type="dxa"/>
            <w:vAlign w:val="bottom"/>
          </w:tcPr>
          <w:p>
            <w:pPr>
              <w:ind w:left="20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H. Brunngraber</w:t>
            </w:r>
          </w:p>
        </w:tc>
      </w:tr>
      <w:tr>
        <w:trPr>
          <w:trHeight w:val="228"/>
        </w:trPr>
        <w:tc>
          <w:tcPr>
            <w:tcW w:w="3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3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43"/>
        </w:trPr>
        <w:tc>
          <w:tcPr>
            <w:tcW w:w="3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92"/>
              </w:rPr>
              <w:t>(Principal Executive Officer)</w:t>
            </w:r>
          </w:p>
        </w:tc>
      </w:tr>
      <w:tr>
        <w:trPr>
          <w:trHeight w:val="738"/>
        </w:trPr>
        <w:tc>
          <w:tcPr>
            <w:tcW w:w="3520" w:type="dxa"/>
            <w:vAlign w:val="bottom"/>
          </w:tcPr>
          <w:p>
            <w:pPr>
              <w:spacing w:after="0"/>
              <w:rPr>
                <w:sz w:val="20"/>
                <w:szCs w:val="20"/>
                <w:color w:val="auto"/>
              </w:rPr>
            </w:pPr>
            <w:r>
              <w:rPr>
                <w:rFonts w:ascii="Arial" w:cs="Arial" w:eastAsia="Arial" w:hAnsi="Arial"/>
                <w:sz w:val="18"/>
                <w:szCs w:val="18"/>
                <w:color w:val="auto"/>
              </w:rPr>
              <w:t>DATE: May 8, 2018</w:t>
            </w:r>
          </w:p>
        </w:tc>
        <w:tc>
          <w:tcPr>
            <w:tcW w:w="2380" w:type="dxa"/>
            <w:vAlign w:val="bottom"/>
          </w:tcPr>
          <w:p>
            <w:pPr>
              <w:ind w:left="20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Stephen Appelbaum</w:t>
            </w:r>
          </w:p>
        </w:tc>
      </w:tr>
      <w:tr>
        <w:trPr>
          <w:trHeight w:val="228"/>
        </w:trPr>
        <w:tc>
          <w:tcPr>
            <w:tcW w:w="3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right="140" w:hanging="272"/>
        <w:spacing w:after="0" w:line="332" w:lineRule="auto"/>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right="240" w:hanging="272"/>
        <w:spacing w:after="0" w:line="268"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280" w:right="40" w:hanging="272"/>
        <w:spacing w:after="0" w:line="259"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6985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right="140" w:hanging="272"/>
        <w:spacing w:after="0" w:line="332" w:lineRule="auto"/>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right="240" w:hanging="272"/>
        <w:spacing w:after="0" w:line="268"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280" w:right="40" w:hanging="272"/>
        <w:spacing w:after="0" w:line="259"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6985</wp:posOffset>
            </wp:positionV>
            <wp:extent cx="2006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March 31, 2018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94" w:lineRule="exact"/>
        <w:rPr>
          <w:sz w:val="20"/>
          <w:szCs w:val="20"/>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10795</wp:posOffset>
            </wp:positionV>
            <wp:extent cx="1878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Chairman, President, and Chief Executive</w:t>
      </w:r>
    </w:p>
    <w:p>
      <w:pPr>
        <w:spacing w:after="0" w:line="44"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May 8, 2018</w:t>
      </w:r>
    </w:p>
    <w:p>
      <w:pPr>
        <w:spacing w:after="0" w:line="200" w:lineRule="exact"/>
        <w:rPr>
          <w:sz w:val="20"/>
          <w:szCs w:val="20"/>
          <w:color w:val="auto"/>
        </w:rPr>
      </w:pPr>
    </w:p>
    <w:p>
      <w:pPr>
        <w:spacing w:after="0" w:line="2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March 31, 2018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10795</wp:posOffset>
            </wp:positionV>
            <wp:extent cx="2006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May 8, 2018</w:t>
      </w:r>
    </w:p>
    <w:p>
      <w:pPr>
        <w:spacing w:after="0" w:line="200" w:lineRule="exact"/>
        <w:rPr>
          <w:sz w:val="20"/>
          <w:szCs w:val="20"/>
          <w:color w:val="auto"/>
        </w:rPr>
      </w:pPr>
    </w:p>
    <w:p>
      <w:pPr>
        <w:spacing w:after="0" w:line="2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2019-12-28T22:04:55Z</dcterms:created>
  <dcterms:modified xsi:type="dcterms:W3CDTF">2019-12-28T22:04:55Z</dcterms:modified>
</cp:coreProperties>
</file>