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both"/>
        <w:rPr/>
      </w:pPr>
      <w:hyperlink w:anchor="i445b653e61e543d481760fb4243a4870_1317">
        <w:r>
          <w:rPr>
            <w:rStyle w:val="InternetLink"/>
            <w:rFonts w:ascii="Palatino;serif" w:hAnsi="Palatino;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68" w:before="0" w:after="0"/>
        <w:jc w:val="center"/>
        <w:rPr/>
      </w:pPr>
      <w:r>
        <w:rPr>
          <w:rFonts w:ascii="Times New Roman;serif" w:hAnsi="Times New Roman;serif"/>
          <w:b/>
          <w:color w:val="000000"/>
          <w:sz w:val="22"/>
        </w:rPr>
        <w:t>Washington, D.C.</w:t>
      </w:r>
      <w:r>
        <w:rPr>
          <w:color w:val="000000"/>
        </w:rPr>
        <w:t xml:space="preserve"> </w:t>
      </w:r>
      <w:r>
        <w:rPr>
          <w:rFonts w:ascii="Times New Roman;serif" w:hAnsi="Times New Roman;serif"/>
          <w:b/>
          <w:color w:val="000000"/>
          <w:sz w:val="22"/>
        </w:rPr>
        <w:t>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FORM 11-K</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FOR ANNUAL REPORTS OF EMPLOYEE STOCK PURCHASE, SAVINGS AND SIMILAR PLANS PURSUANT TO SECTION 15(d) OF THE SECURITIES EXCHANGE ACT OF 1934</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(Mark One)</w:t>
      </w:r>
    </w:p>
    <w:p>
      <w:pPr>
        <w:pStyle w:val="TextBody"/>
        <w:bidi w:val="0"/>
        <w:spacing w:before="0" w:after="0"/>
        <w:jc w:val="center"/>
        <w:rPr/>
      </w:pPr>
      <w:r>
        <w:rPr/>
      </w:r>
    </w:p>
    <w:tbl>
      <w:tblPr>
        <w:tblW w:w="9973" w:type="dxa"/>
        <w:jc w:val="center"/>
        <w:tblInd w:w="0" w:type="dxa"/>
        <w:tblLayout w:type="fixed"/>
        <w:tblCellMar>
          <w:top w:w="28" w:type="dxa"/>
          <w:left w:w="28" w:type="dxa"/>
          <w:bottom w:w="28" w:type="dxa"/>
          <w:right w:w="28" w:type="dxa"/>
        </w:tblCellMar>
      </w:tblPr>
      <w:tblGrid>
        <w:gridCol w:w="190"/>
        <w:gridCol w:w="167"/>
        <w:gridCol w:w="167"/>
        <w:gridCol w:w="2768"/>
        <w:gridCol w:w="2768"/>
        <w:gridCol w:w="3913"/>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13"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 xml:space="preserve">x </w:t>
            </w:r>
          </w:p>
        </w:tc>
        <w:tc>
          <w:tcPr>
            <w:tcW w:w="9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ANNUAL REPORT PURSUANT TO SECTION 15(d) OF THE SECURITIES EXCHANGE ACT OF 1934 </w:t>
            </w:r>
          </w:p>
        </w:tc>
      </w:tr>
      <w:tr>
        <w:trPr/>
        <w:tc>
          <w:tcPr>
            <w:tcW w:w="99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For the fiscal year ended December 31, 2025</w:t>
            </w:r>
          </w:p>
        </w:tc>
      </w:tr>
      <w:tr>
        <w:trPr/>
        <w:tc>
          <w:tcPr>
            <w:tcW w:w="99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3"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OR </w:t>
            </w:r>
          </w:p>
        </w:tc>
      </w:tr>
      <w:tr>
        <w:trPr/>
        <w:tc>
          <w:tcPr>
            <w:tcW w:w="99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TRANSITION REPORT PURSUANT TO SECTION 15(d) OF THE SECURITIES EXCHANGE ACT OF 1934 </w:t>
            </w:r>
          </w:p>
        </w:tc>
      </w:tr>
      <w:tr>
        <w:trPr/>
        <w:tc>
          <w:tcPr>
            <w:tcW w:w="99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 to __________</w:t>
            </w:r>
          </w:p>
        </w:tc>
      </w:tr>
    </w:tbl>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color w:val="000000"/>
          <w:sz w:val="22"/>
        </w:rPr>
        <w:t>Commission file number:</w:t>
      </w:r>
      <w:r>
        <w:rPr>
          <w:color w:val="000000"/>
        </w:rPr>
        <w:t xml:space="preserve"> </w:t>
      </w:r>
      <w:r>
        <w:rPr>
          <w:rFonts w:ascii="Times New Roman;serif" w:hAnsi="Times New Roman;serif"/>
          <w:b/>
          <w:color w:val="000000"/>
          <w:sz w:val="22"/>
        </w:rPr>
        <w:t>000-20827</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 Full title of the plan and the address of the plan, if different from that of the issuer named below:</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CASS INFORMATION SYSTEMS, INC. 401(K) PLAN</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B. Name of issuer of the securities held pursuant to the plan and the address of its principal executive office: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CASS INFORMATION SYSTEMS, INC.</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12444 Powerscourt Drive, Suite 550 </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St. Louis, Missouri 63131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pPr>
      <w:hyperlink w:anchor="i445b653e61e543d481760fb4243a4870_1317">
        <w:r>
          <w:rPr>
            <w:rStyle w:val="InternetLink"/>
            <w:rFonts w:ascii="Palatino;serif" w:hAnsi="Palatino;serif"/>
            <w:b/>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bookmarkStart w:id="0" w:name="i445b653e61e543d481760fb4243a4870_1317"/>
      <w:bookmarkEnd w:id="0"/>
      <w:r>
        <w:rPr>
          <w:rFonts w:ascii="Times New Roman;serif" w:hAnsi="Times New Roman;serif"/>
          <w:b/>
          <w:color w:val="000000"/>
          <w:sz w:val="24"/>
        </w:rPr>
        <w:t>REQUIRED INFORMATION</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Cass Information Systems, Inc. 401(k) Plan (the “Plan”) is subject to the provisions of the Employee Retirement Income Security Act of 1974, as amended (“ERISA”), and for purposes of satisfying the requirements of Form 11-K has included for filing herewith the Plan financial statements and schedule prepared in accordance with the financial reporting requirements of ERISA.</w:t>
      </w:r>
    </w:p>
    <w:p>
      <w:pPr>
        <w:pStyle w:val="TextBody"/>
        <w:bidi w:val="0"/>
        <w:spacing w:before="0" w:after="0"/>
        <w:ind w:left="0" w:right="0" w:firstLine="720"/>
        <w:jc w:val="both"/>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CASS INFORMATION SYSTEMS, INC. 401(K) PLAN INDEX</w:t>
      </w:r>
    </w:p>
    <w:tbl>
      <w:tblPr>
        <w:tblW w:w="10205" w:type="dxa"/>
        <w:jc w:val="left"/>
        <w:tblInd w:w="0" w:type="dxa"/>
        <w:tblLayout w:type="fixed"/>
        <w:tblCellMar>
          <w:top w:w="28" w:type="dxa"/>
          <w:left w:w="28" w:type="dxa"/>
          <w:bottom w:w="28" w:type="dxa"/>
          <w:right w:w="28" w:type="dxa"/>
        </w:tblCellMar>
      </w:tblPr>
      <w:tblGrid>
        <w:gridCol w:w="3488"/>
        <w:gridCol w:w="3053"/>
        <w:gridCol w:w="3061"/>
        <w:gridCol w:w="176"/>
        <w:gridCol w:w="176"/>
        <w:gridCol w:w="251"/>
      </w:tblGrid>
      <w:tr>
        <w:trPr/>
        <w:tc>
          <w:tcPr>
            <w:tcW w:w="3488"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9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Page</w:t>
            </w:r>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704c47856e4b6a8ebcaf4ba08d79f2_4">
              <w:r>
                <w:rPr>
                  <w:rStyle w:val="InternetLink"/>
                  <w:rFonts w:ascii="Times New Roman;serif" w:hAnsi="Times New Roman;serif"/>
                  <w:b w:val="false"/>
                  <w:color w:val="000000"/>
                  <w:sz w:val="22"/>
                  <w:u w:val="single"/>
                </w:rPr>
                <w:t>Report of Independent Registered Public Accounting Firm</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704c47856e4b6a8ebcaf4ba08d79f2_7">
              <w:r>
                <w:rPr>
                  <w:rStyle w:val="InternetLink"/>
                  <w:rFonts w:ascii="Times New Roman;serif" w:hAnsi="Times New Roman;serif"/>
                  <w:b w:val="false"/>
                  <w:color w:val="000080"/>
                  <w:sz w:val="22"/>
                  <w:u w:val="single"/>
                </w:rPr>
                <w:t>Statements of Net Assets Available for Benefits as of December 31, 202</w:t>
              </w:r>
            </w:hyperlink>
            <w:hyperlink w:anchor="i68704c47856e4b6a8ebcaf4ba08d79f2_7">
              <w:r>
                <w:rPr>
                  <w:rStyle w:val="InternetLink"/>
                  <w:rFonts w:ascii="Times New Roman;serif" w:hAnsi="Times New Roman;serif"/>
                  <w:b w:val="false"/>
                  <w:color w:val="000080"/>
                  <w:sz w:val="22"/>
                  <w:u w:val="single"/>
                </w:rPr>
                <w:t>5</w:t>
              </w:r>
            </w:hyperlink>
            <w:hyperlink w:anchor="i68704c47856e4b6a8ebcaf4ba08d79f2_7">
              <w:r>
                <w:rPr>
                  <w:rStyle w:val="InternetLink"/>
                  <w:rFonts w:ascii="Times New Roman;serif" w:hAnsi="Times New Roman;serif"/>
                  <w:b w:val="false"/>
                  <w:color w:val="000080"/>
                  <w:sz w:val="22"/>
                  <w:u w:val="single"/>
                </w:rPr>
                <w:t>, and 202</w:t>
              </w:r>
            </w:hyperlink>
            <w:r>
              <w:rPr>
                <w:rFonts w:ascii="Times New Roman;serif" w:hAnsi="Times New Roman;serif"/>
                <w:b w:val="false"/>
                <w:color w:val="000000"/>
                <w:sz w:val="22"/>
              </w:rPr>
              <w:t>4</w:t>
            </w:r>
          </w:p>
        </w:tc>
        <w:tc>
          <w:tcPr>
            <w:tcW w:w="6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704c47856e4b6a8ebcaf4ba08d79f2_7">
              <w:r>
                <w:rPr>
                  <w:rStyle w:val="InternetLink"/>
                  <w:rFonts w:ascii="Times New Roman;serif" w:hAnsi="Times New Roman;serif"/>
                  <w:b w:val="false"/>
                  <w:color w:val="000000"/>
                  <w:sz w:val="22"/>
                  <w:u w:val="single"/>
                </w:rPr>
                <w:t>1</w:t>
              </w:r>
            </w:hyperlink>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704c47856e4b6a8ebcaf4ba08d79f2_10">
              <w:r>
                <w:rPr>
                  <w:rStyle w:val="InternetLink"/>
                  <w:rFonts w:ascii="Times New Roman;serif" w:hAnsi="Times New Roman;serif"/>
                  <w:b w:val="false"/>
                  <w:color w:val="000080"/>
                  <w:sz w:val="22"/>
                  <w:u w:val="single"/>
                </w:rPr>
                <w:t>Statements of Changes in Net Assets Available for Benefits for the Years Ended December 31, 202</w:t>
              </w:r>
            </w:hyperlink>
            <w:hyperlink w:anchor="i68704c47856e4b6a8ebcaf4ba08d79f2_10">
              <w:r>
                <w:rPr>
                  <w:rStyle w:val="InternetLink"/>
                  <w:rFonts w:ascii="Times New Roman;serif" w:hAnsi="Times New Roman;serif"/>
                  <w:b w:val="false"/>
                  <w:color w:val="000080"/>
                  <w:sz w:val="22"/>
                  <w:u w:val="single"/>
                </w:rPr>
                <w:t>5</w:t>
              </w:r>
            </w:hyperlink>
            <w:hyperlink w:anchor="i68704c47856e4b6a8ebcaf4ba08d79f2_10">
              <w:r>
                <w:rPr>
                  <w:rStyle w:val="InternetLink"/>
                  <w:rFonts w:ascii="Times New Roman;serif" w:hAnsi="Times New Roman;serif"/>
                  <w:b w:val="false"/>
                  <w:color w:val="000080"/>
                  <w:sz w:val="22"/>
                  <w:u w:val="single"/>
                </w:rPr>
                <w:t>, and 202</w:t>
              </w:r>
            </w:hyperlink>
            <w:r>
              <w:rPr>
                <w:rFonts w:ascii="Times New Roman;serif" w:hAnsi="Times New Roman;serif"/>
                <w:b w:val="false"/>
                <w:color w:val="000000"/>
                <w:sz w:val="22"/>
              </w:rPr>
              <w:t>4</w:t>
            </w:r>
          </w:p>
        </w:tc>
        <w:tc>
          <w:tcPr>
            <w:tcW w:w="6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704c47856e4b6a8ebcaf4ba08d79f2_10">
              <w:r>
                <w:rPr>
                  <w:rStyle w:val="InternetLink"/>
                  <w:rFonts w:ascii="Times New Roman;serif" w:hAnsi="Times New Roman;serif"/>
                  <w:b w:val="false"/>
                  <w:color w:val="000000"/>
                  <w:sz w:val="22"/>
                  <w:u w:val="single"/>
                </w:rPr>
                <w:t>2</w:t>
              </w:r>
            </w:hyperlink>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704c47856e4b6a8ebcaf4ba08d79f2_13">
              <w:r>
                <w:rPr>
                  <w:rStyle w:val="InternetLink"/>
                  <w:rFonts w:ascii="Times New Roman;serif" w:hAnsi="Times New Roman;serif"/>
                  <w:b w:val="false"/>
                  <w:color w:val="000000"/>
                  <w:sz w:val="22"/>
                  <w:u w:val="single"/>
                </w:rPr>
                <w:t>Notes to Financial Statements</w:t>
              </w:r>
            </w:hyperlink>
          </w:p>
        </w:tc>
        <w:tc>
          <w:tcPr>
            <w:tcW w:w="6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704c47856e4b6a8ebcaf4ba08d79f2_13">
              <w:r>
                <w:rPr>
                  <w:rStyle w:val="InternetLink"/>
                  <w:rFonts w:ascii="Times New Roman;serif" w:hAnsi="Times New Roman;serif"/>
                  <w:b w:val="false"/>
                  <w:color w:val="000000"/>
                  <w:sz w:val="22"/>
                  <w:u w:val="single"/>
                </w:rPr>
                <w:t>3</w:t>
              </w:r>
            </w:hyperlink>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Supplemental Schedule:*</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68704c47856e4b6a8ebcaf4ba08d79f2_37">
              <w:r>
                <w:rPr>
                  <w:rStyle w:val="InternetLink"/>
                  <w:rFonts w:ascii="Times New Roman;serif" w:hAnsi="Times New Roman;serif"/>
                  <w:b w:val="false"/>
                  <w:color w:val="000000"/>
                  <w:sz w:val="22"/>
                  <w:u w:val="single"/>
                </w:rPr>
                <w:t>Schedule H, line 4i - Schedule of Assets (Held at End of Year) as of December 31, 202</w:t>
              </w:r>
            </w:hyperlink>
            <w:r>
              <w:rPr>
                <w:rFonts w:ascii="Times New Roman;serif" w:hAnsi="Times New Roman;serif"/>
                <w:b w:val="false"/>
                <w:color w:val="000000"/>
                <w:sz w:val="22"/>
              </w:rPr>
              <w:t>5</w:t>
            </w:r>
          </w:p>
        </w:tc>
        <w:tc>
          <w:tcPr>
            <w:tcW w:w="6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pPr>
            <w:hyperlink w:anchor="i68704c47856e4b6a8ebcaf4ba08d79f2_37">
              <w:r>
                <w:rPr>
                  <w:rStyle w:val="InternetLink"/>
                  <w:rFonts w:ascii="Times New Roman;serif" w:hAnsi="Times New Roman;serif"/>
                  <w:b w:val="false"/>
                  <w:color w:val="000000"/>
                  <w:sz w:val="22"/>
                  <w:u w:val="single"/>
                </w:rPr>
                <w:t>9</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All other schedules required by Section 2520.103-10 of the Department of Labor’s Rules and Regulations for Reporting and Disclosure under ERISA have been omitted because they are 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1828800" cy="7810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828800" cy="781050"/>
                    </a:xfrm>
                    <a:prstGeom prst="rect">
                      <a:avLst/>
                    </a:prstGeom>
                  </pic:spPr>
                </pic:pic>
              </a:graphicData>
            </a:graphic>
          </wp:inline>
        </w:drawing>
      </w:r>
      <w:bookmarkStart w:id="1" w:name="i-1"/>
      <w:bookmarkEnd w:id="1"/>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sans-serif" w:hAnsi="sans-serif"/>
          <w:b w:val="false"/>
          <w:color w:val="000000"/>
          <w:sz w:val="24"/>
        </w:rPr>
      </w:pPr>
      <w:r>
        <w:rPr>
          <w:rFonts w:ascii="sans-serif" w:hAnsi="sans-serif"/>
          <w:b w:val="false"/>
          <w:color w:val="000000"/>
          <w:sz w:val="24"/>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To the Retirement Plan Committee and Plan Participants of</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Cass Information Systems, Inc. 401(k) Plan</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St. Louis, Missouri</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Opinion on the Financial Statements</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We have audited the accompanying statements of net assets available for benefits of the Cass Information Systems, Inc. 401(k) Plan (the “Plan”) as of December 31, 2025 and 2024,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 </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Basis for Opinion </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Supplemental Information</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The accompanying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/s/ LBMC, PC</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We have served as the Plan’s auditor since 2023.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Brentwood, Tennessee</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June 29,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45b653e61e543d481760fb4243a4870_1317">
        <w:r>
          <w:rPr>
            <w:rStyle w:val="InternetLink"/>
            <w:rFonts w:ascii="Palatino;serif" w:hAnsi="Palatino;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CASS INFORMATION SYSTEMS,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401(k)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Statements of Net Assets Available for Benefits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tbl>
      <w:tblPr>
        <w:tblW w:w="6911" w:type="dxa"/>
        <w:jc w:val="left"/>
        <w:tblInd w:w="0" w:type="dxa"/>
        <w:tblLayout w:type="fixed"/>
        <w:tblCellMar>
          <w:top w:w="28" w:type="dxa"/>
          <w:left w:w="28" w:type="dxa"/>
          <w:bottom w:w="28" w:type="dxa"/>
          <w:right w:w="28" w:type="dxa"/>
        </w:tblCellMar>
      </w:tblPr>
      <w:tblGrid>
        <w:gridCol w:w="1255"/>
        <w:gridCol w:w="1103"/>
        <w:gridCol w:w="1106"/>
        <w:gridCol w:w="226"/>
        <w:gridCol w:w="1366"/>
        <w:gridCol w:w="109"/>
        <w:gridCol w:w="226"/>
        <w:gridCol w:w="136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2024</w:t>
            </w:r>
          </w:p>
        </w:tc>
      </w:tr>
      <w:tr>
        <w:trPr/>
        <w:tc>
          <w:tcPr>
            <w:tcW w:w="34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Investments, at fair value:</w:t>
            </w:r>
          </w:p>
        </w:tc>
        <w:tc>
          <w:tcPr>
            <w:tcW w:w="17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Pooled separate accounts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5,161,052 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4,037,801 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Mutual funds</w:t>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46,226,170 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43,777,956 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Collective trust funds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85,492,163 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73,024,519 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Employer common stock</w:t>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617,038 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720,645 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investments</w:t>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137,496,423 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121,560,921 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Notes receivable from participants</w:t>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2,110,331 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1,970,905 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Contributions receivable employer</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Contributions receivable participant</w:t>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assets available for benefits</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139,608,321 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123,531,826 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45b653e61e543d481760fb4243a4870_1317">
        <w:r>
          <w:rPr>
            <w:rStyle w:val="InternetLink"/>
            <w:rFonts w:ascii="Palatino;serif" w:hAnsi="Palatino;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CASS INFORMATION SYSTEMS,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401(k)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Statements of Changes in Net Assets Available for Benefits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Years ended December 31, 2025 and 2024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tbl>
      <w:tblPr>
        <w:tblW w:w="7781" w:type="dxa"/>
        <w:jc w:val="left"/>
        <w:tblInd w:w="0" w:type="dxa"/>
        <w:tblLayout w:type="fixed"/>
        <w:tblCellMar>
          <w:top w:w="28" w:type="dxa"/>
          <w:left w:w="28" w:type="dxa"/>
          <w:bottom w:w="28" w:type="dxa"/>
          <w:right w:w="28" w:type="dxa"/>
        </w:tblCellMar>
      </w:tblPr>
      <w:tblGrid>
        <w:gridCol w:w="1567"/>
        <w:gridCol w:w="1379"/>
        <w:gridCol w:w="1388"/>
        <w:gridCol w:w="226"/>
        <w:gridCol w:w="1366"/>
        <w:gridCol w:w="109"/>
        <w:gridCol w:w="226"/>
        <w:gridCol w:w="136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2024</w:t>
            </w:r>
          </w:p>
        </w:tc>
      </w:tr>
      <w:tr>
        <w:trPr/>
        <w:tc>
          <w:tcPr>
            <w:tcW w:w="43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Additions:</w:t>
            </w:r>
          </w:p>
        </w:tc>
        <w:tc>
          <w:tcPr>
            <w:tcW w:w="17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Contributions:</w:t>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Employer</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3,898,809 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3,972,358 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Employee</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6,582,122 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6,623,471 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Rollover</w:t>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2,114,550 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7,281,812 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Transfer from defined benefit plan</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13,791,983 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17,877,641 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 income:</w:t>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Dividends</w:t>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538,161 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473,846 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appreciation in fair value of investments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17,535,532 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13,860,007 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18,073,693 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14,333,853 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on notes receivable from participants</w:t>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188,718 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134,711 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additions</w:t>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32,054,394 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32,346,205 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Deductions:</w:t>
            </w:r>
          </w:p>
        </w:tc>
        <w:tc>
          <w:tcPr>
            <w:tcW w:w="17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Benefit payments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15,837,592 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15,302,635 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expenses</w:t>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140,307 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99,911 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deductions</w:t>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15,977,899 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15,402,546 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 in net assets available for benefits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16,076,495 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16,943,659 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assets available for benefits:</w:t>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Beginning of year</w:t>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123,531,826 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106,588,167 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End of year</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139,608,321 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123,531,826 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45b653e61e543d481760fb4243a4870_1317">
        <w:r>
          <w:rPr>
            <w:rStyle w:val="InternetLink"/>
            <w:rFonts w:ascii="Palatino;serif" w:hAnsi="Palatino;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CASS INFORMATION SYSTEMS,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401(k)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NOTE 1 – PLAN DESCRIPTION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description of the Plan provides general information. Participants should refer to the plan document for a more complete description of the Plan’s provisions.</w:t>
      </w:r>
    </w:p>
    <w:p>
      <w:pPr>
        <w:pStyle w:val="TextBody"/>
        <w:bidi w:val="0"/>
        <w:spacing w:before="0" w:after="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Employer Contributions</w:t>
      </w:r>
      <w:r>
        <w:rPr>
          <w:color w:val="000000"/>
        </w:rPr>
        <w:t xml:space="preserve"> – </w:t>
      </w:r>
      <w:r>
        <w:rPr>
          <w:rFonts w:ascii="Times New Roman;serif" w:hAnsi="Times New Roman;serif"/>
          <w:b w:val="false"/>
          <w:color w:val="000000"/>
          <w:sz w:val="22"/>
        </w:rPr>
        <w:t>The amount of employer contributions is determined by the Retirement Plan Committee (the Plan Administrator) of Cass Information Systems, Inc. ("the Company", "the employer", or "Cass"). The amount of employer contributions is also approved by executive management of the Company. For employees that are eligible to participate in the Plan, the Company provides a 3% discretionary contribution and matches 50% of the first 6% of employee contributions, subject to IRS limitations.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December 2025, the Company, subsequent to the termination of its defined benefit plan and settlement of all remaining liabilities to its participants, transferred excess assets from its defined benefit plan of $1,196,502 to the Plan. These excess assets are expected to be used to partially fund the Company's 3% discretionary contribution during the year ended December 31, 2026 and are in pooled separate accounts on the statement of net assets available for plan benefits at December 31, 2025.</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Employee Contributions</w:t>
      </w:r>
      <w:r>
        <w:rPr>
          <w:color w:val="000000"/>
        </w:rPr>
        <w:t xml:space="preserve"> – </w:t>
      </w:r>
      <w:r>
        <w:rPr>
          <w:rFonts w:ascii="Times New Roman;serif" w:hAnsi="Times New Roman;serif"/>
          <w:b w:val="false"/>
          <w:color w:val="000000"/>
          <w:sz w:val="22"/>
        </w:rPr>
        <w:t xml:space="preserve">Each plan participant may elect to make contributions to the Plan of 1% to 100% of the participant’s eligible compensation for such fiscal year as long as such contributions do not exceed the maximum permissible by the Internal Revenue Code. Participants may also contribute amounts representing distributions from other qualified defined contribution and defined benefit plans. In addition, participants that are age 50 or older are eligible to make pre-tax catch-up contributions not to exceed certain limits described in the Plan document. Eligible new hires are automatically enrolled for pre-tax contributions at a 6% deferral rate, with automatic annual 1% increases up to 10%, unless they elect otherwise. </w:t>
      </w:r>
    </w:p>
    <w:p>
      <w:pPr>
        <w:pStyle w:val="TextBody"/>
        <w:bidi w:val="0"/>
        <w:spacing w:before="0" w:after="0"/>
        <w:ind w:left="0" w:right="0" w:hanging="44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October 31, 2024, the Company terminated its defined benefit plan. At termination, participants of the defined benefit plan had the option of monthly payments, a lump sum distribution and/or rolling the benefits into any qualified plan (including the Cass 401(k) Plan). During 2024, rollover contributions associated with the terminated defined benefit plan of $6,819,079 are included in rollover contributions on the statements of changes in net assets available for benefits.</w:t>
      </w:r>
    </w:p>
    <w:p>
      <w:pPr>
        <w:pStyle w:val="TextBody"/>
        <w:bidi w:val="0"/>
        <w:spacing w:before="0" w:after="0"/>
        <w:ind w:left="0" w:right="0" w:firstLine="72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Participant Eligibility</w:t>
      </w:r>
      <w:r>
        <w:rPr>
          <w:color w:val="000000"/>
        </w:rPr>
        <w:t xml:space="preserve"> – </w:t>
      </w:r>
      <w:r>
        <w:rPr>
          <w:rFonts w:ascii="Times New Roman;serif" w:hAnsi="Times New Roman;serif"/>
          <w:b w:val="false"/>
          <w:color w:val="000000"/>
          <w:sz w:val="22"/>
        </w:rPr>
        <w:t xml:space="preserve">Employees (as defined by the Plan) of the Company or its wholly owned subsidiary, Cass Commercial Bank, shall be eligible to become a participant in the Plan the first of the month following the completion of one month of service and upon reaching 21 years of age. Individuals who are ineligible to participate in the Plan consist of (a) individuals who are represented by a bargaining unit that has bargained with the Company in good faith on the subject of retirement benefits; (b) Nonresident aliens with no U.S. income or all such income is exempt from U.S. income tax; (c) leased employees; and (d)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45b653e61e543d481760fb4243a4870_1317">
        <w:r>
          <w:rPr>
            <w:rStyle w:val="InternetLink"/>
            <w:rFonts w:ascii="Palatino;serif" w:hAnsi="Palatino;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CASS INFORMATION SYSTEMS,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401(k)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employees whose primary work location is other than a processing center maintained by the employer and whose job title includes "Offsite."</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Participant Accounts</w:t>
      </w:r>
      <w:r>
        <w:rPr>
          <w:color w:val="000000"/>
        </w:rPr>
        <w:t xml:space="preserve"> – </w:t>
      </w:r>
      <w:r>
        <w:rPr>
          <w:rFonts w:ascii="Times New Roman;serif" w:hAnsi="Times New Roman;serif"/>
          <w:b w:val="false"/>
          <w:color w:val="000000"/>
          <w:sz w:val="22"/>
        </w:rPr>
        <w:t>Each participant’s account is credited with the participant’s contributions and allocations of the Company’s match and contributions along with plan earnings, and charged with an allocation of administrative expenses. Allocations are based on participant earnings or account balances, as defined. The benefit to which a participant is entitled is the benefit that can be provided from the participant’s vested account.</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Vesting</w:t>
      </w:r>
      <w:r>
        <w:rPr>
          <w:color w:val="000000"/>
        </w:rPr>
        <w:t xml:space="preserve"> – </w:t>
      </w:r>
      <w:r>
        <w:rPr>
          <w:rFonts w:ascii="Times New Roman;serif" w:hAnsi="Times New Roman;serif"/>
          <w:b w:val="false"/>
          <w:color w:val="000000"/>
          <w:sz w:val="22"/>
        </w:rPr>
        <w:t>Employees are 100% vested in any portion of their account resulting from their savings contributions and any rollover contributions. Employer contributions including, but not limited to, matching additional and discretionary are subject to vesting as follows:</w:t>
      </w:r>
    </w:p>
    <w:p>
      <w:pPr>
        <w:pStyle w:val="TextBody"/>
        <w:bidi w:val="0"/>
        <w:spacing w:before="0" w:after="0"/>
        <w:ind w:left="0" w:right="0" w:hanging="440"/>
        <w:jc w:val="both"/>
        <w:rPr/>
      </w:pPr>
      <w:r>
        <w:rPr/>
      </w:r>
    </w:p>
    <w:tbl>
      <w:tblPr>
        <w:tblW w:w="3225" w:type="dxa"/>
        <w:jc w:val="left"/>
        <w:tblInd w:w="0" w:type="dxa"/>
        <w:tblLayout w:type="fixed"/>
        <w:tblCellMar>
          <w:top w:w="28" w:type="dxa"/>
          <w:left w:w="28" w:type="dxa"/>
          <w:bottom w:w="28" w:type="dxa"/>
          <w:right w:w="28" w:type="dxa"/>
        </w:tblCellMar>
      </w:tblPr>
      <w:tblGrid>
        <w:gridCol w:w="532"/>
        <w:gridCol w:w="467"/>
        <w:gridCol w:w="471"/>
        <w:gridCol w:w="513"/>
        <w:gridCol w:w="513"/>
        <w:gridCol w:w="729"/>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of service</w:t>
            </w:r>
          </w:p>
        </w:tc>
        <w:tc>
          <w:tcPr>
            <w:tcW w:w="17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Vesting percentage</w:t>
            </w:r>
          </w:p>
        </w:tc>
      </w:tr>
      <w:tr>
        <w:trPr/>
        <w:tc>
          <w:tcPr>
            <w:tcW w:w="14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three</w:t>
            </w:r>
          </w:p>
        </w:tc>
        <w:tc>
          <w:tcPr>
            <w:tcW w:w="17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r>
      <w:tr>
        <w:trPr/>
        <w:tc>
          <w:tcPr>
            <w:tcW w:w="14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or more</w:t>
            </w:r>
          </w:p>
        </w:tc>
        <w:tc>
          <w:tcPr>
            <w:tcW w:w="17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ind w:left="0" w:right="0" w:hanging="440"/>
        <w:jc w:val="both"/>
        <w:rPr/>
      </w:pPr>
      <w:r>
        <w:rPr/>
      </w:r>
    </w:p>
    <w:p>
      <w:pPr>
        <w:pStyle w:val="TextBody"/>
        <w:bidi w:val="0"/>
        <w:spacing w:before="0" w:after="0"/>
        <w:ind w:left="0" w:right="0" w:hanging="440"/>
        <w:jc w:val="both"/>
        <w:rPr/>
      </w:pPr>
      <w:r>
        <w:rPr/>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color w:val="000000"/>
        </w:rPr>
      </w:pPr>
      <w:r>
        <w:rPr>
          <w:color w:val="000000"/>
        </w:rPr>
        <w:t>    </w:t>
      </w:r>
      <w:r>
        <w:rPr>
          <w:rFonts w:ascii="Times New Roman;serif" w:hAnsi="Times New Roman;serif"/>
          <w:b w:val="false"/>
          <w:color w:val="000000"/>
          <w:sz w:val="22"/>
        </w:rPr>
        <w:t>If an employee terminates employment before full vesting, the nonvested portions of employer matching and discretionary contributions are used to reduce future contributions or plan administration costs of the Company. At December 31, 2025 and 2024, the forfeited nonvested accounts totaled $7,110 and $15,650, respectively. Employer contributions were reduced from forfeited nonvested accounts by $435,519 and $492,225 during 2025 and 2024, respectively.</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Distributions</w:t>
      </w:r>
      <w:r>
        <w:rPr>
          <w:color w:val="000000"/>
        </w:rPr>
        <w:t xml:space="preserve"> – </w:t>
      </w:r>
      <w:r>
        <w:rPr>
          <w:rFonts w:ascii="Times New Roman;serif" w:hAnsi="Times New Roman;serif"/>
          <w:b w:val="false"/>
          <w:color w:val="000000"/>
          <w:sz w:val="22"/>
        </w:rPr>
        <w:t>Under the terms of the Plan, participants hired prior to January 1, 2017 reaching the age of 59 ½ are eligible to receive their balance prior to January 1, 2017. Participants hired January 1, 2017 and after reaching the age of 65 are eligible to receive the entire balance in all of the accounts maintained for such participant. Participants terminating employment prior to the attainment of age 59 ½ receive their contributions and earnings on such contributions and the employer's contributions and earnings on such contributions, if such amounts are vested. In the event of death, any vested balances in the participant’s account are paid to the designated beneficiary.</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Costs of Plan Administration</w:t>
      </w:r>
      <w:r>
        <w:rPr>
          <w:color w:val="000000"/>
        </w:rPr>
        <w:t xml:space="preserve"> – </w:t>
      </w:r>
      <w:r>
        <w:rPr>
          <w:rFonts w:ascii="Times New Roman;serif" w:hAnsi="Times New Roman;serif"/>
          <w:b w:val="false"/>
          <w:color w:val="000000"/>
          <w:sz w:val="22"/>
        </w:rPr>
        <w:t>Fees and expenses incurred by the Company in the administration of the Plan are paid by the Company or from forfeited nonvested accounts. Expenses solely attributable to the investment of funds are paid with plan assets.</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Notes Receivable From Participants</w:t>
      </w:r>
      <w:r>
        <w:rPr>
          <w:color w:val="000000"/>
        </w:rPr>
        <w:t xml:space="preserve"> – </w:t>
      </w:r>
      <w:r>
        <w:rPr>
          <w:rFonts w:ascii="Times New Roman;serif" w:hAnsi="Times New Roman;serif"/>
          <w:b w:val="false"/>
          <w:color w:val="000000"/>
          <w:sz w:val="22"/>
        </w:rPr>
        <w:t xml:space="preserve">Participants may borrow from their accounts a minimum of $1,000 up to a maximum equal to the lesser of $50,000 or 50% of the participant’s vested account balance, per plan provisions. The loans are secured by the balance in the participant’s account and bear interest at rates which are commensurate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45b653e61e543d481760fb4243a4870_1317">
        <w:r>
          <w:rPr>
            <w:rStyle w:val="InternetLink"/>
            <w:rFonts w:ascii="Palatino;serif" w:hAnsi="Palatino;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CASS INFORMATION SYSTEMS,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401(k)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local prevailing rates as determined by the Plan Administrator. Principal and interest are paid ratably through payroll deductions.</w:t>
      </w:r>
    </w:p>
    <w:p>
      <w:pPr>
        <w:pStyle w:val="TextBody"/>
        <w:bidi w:val="0"/>
        <w:spacing w:before="0" w:after="0"/>
        <w:ind w:left="0" w:right="0" w:hanging="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40"/>
        <w:jc w:val="both"/>
        <w:rPr>
          <w:rFonts w:ascii="Times New Roman;serif" w:hAnsi="Times New Roman;serif"/>
          <w:b/>
          <w:color w:val="000000"/>
          <w:sz w:val="22"/>
        </w:rPr>
      </w:pPr>
      <w:r>
        <w:rPr>
          <w:rFonts w:ascii="Times New Roman;serif" w:hAnsi="Times New Roman;serif"/>
          <w:b/>
          <w:color w:val="000000"/>
          <w:sz w:val="22"/>
        </w:rPr>
        <w:t>NOTE 2 – SUMMARY OF SIGNIFICANT ACCOUNTING POLICIES</w:t>
      </w:r>
    </w:p>
    <w:p>
      <w:pPr>
        <w:pStyle w:val="TextBody"/>
        <w:bidi w:val="0"/>
        <w:spacing w:before="0" w:after="0"/>
        <w:ind w:left="0" w:right="0" w:hanging="440"/>
        <w:jc w:val="both"/>
        <w:rPr/>
      </w:pPr>
      <w:r>
        <w:rPr/>
      </w:r>
    </w:p>
    <w:p>
      <w:pPr>
        <w:pStyle w:val="TextBody"/>
        <w:bidi w:val="0"/>
        <w:spacing w:lineRule="auto" w:line="240" w:before="0" w:after="0"/>
        <w:ind w:left="0" w:right="0" w:hanging="440"/>
        <w:jc w:val="both"/>
        <w:rPr>
          <w:rFonts w:ascii="Times New Roman;serif" w:hAnsi="Times New Roman;serif"/>
          <w:b w:val="false"/>
          <w:color w:val="000000"/>
          <w:sz w:val="22"/>
        </w:rPr>
      </w:pPr>
      <w:r>
        <w:rPr>
          <w:rFonts w:ascii="Times New Roman;serif" w:hAnsi="Times New Roman;serif"/>
          <w:b w:val="false"/>
          <w:color w:val="000000"/>
          <w:sz w:val="22"/>
        </w:rPr>
        <w:t>The following are the significant accounting policies followed by the Plan:</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Basis of Presentation</w:t>
      </w:r>
      <w:r>
        <w:rPr>
          <w:color w:val="000000"/>
        </w:rPr>
        <w:t xml:space="preserve"> – </w:t>
      </w:r>
      <w:r>
        <w:rPr>
          <w:rFonts w:ascii="Times New Roman;serif" w:hAnsi="Times New Roman;serif"/>
          <w:b w:val="false"/>
          <w:color w:val="000000"/>
          <w:sz w:val="22"/>
        </w:rPr>
        <w:t>The accompanying financial statements have been prepared on the accrual basis of accounting and present the net assets available for benefits and changes in those assets. The preparation of financial statements in conformity with accounting principles generally accepted in the United States of America requires estimates and assumptions that affect the reported amounts. Actual results could differ from those estimates.</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Payments of Benefits</w:t>
      </w:r>
      <w:r>
        <w:rPr>
          <w:color w:val="000000"/>
        </w:rPr>
        <w:t xml:space="preserve"> </w:t>
      </w:r>
      <w:r>
        <w:rPr>
          <w:rFonts w:ascii="Times New Roman;serif" w:hAnsi="Times New Roman;serif"/>
          <w:b w:val="false"/>
          <w:color w:val="000000"/>
          <w:sz w:val="22"/>
        </w:rPr>
        <w:t>- Benefits are recorded when paid.</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Trust Fund</w:t>
      </w:r>
      <w:r>
        <w:rPr>
          <w:color w:val="000000"/>
        </w:rPr>
        <w:t xml:space="preserve"> – </w:t>
      </w:r>
      <w:r>
        <w:rPr>
          <w:rFonts w:ascii="Times New Roman;serif" w:hAnsi="Times New Roman;serif"/>
          <w:b w:val="false"/>
          <w:color w:val="000000"/>
          <w:sz w:val="22"/>
        </w:rPr>
        <w:t>Under the terms of a trust agreement between the Principal Life Insurance Company (the Trustee) and the Company, the Trustee administers a trust fund on behalf of the Plan. Participants may elect to have a portion of their account balances invested in a variety of interests in pooled separate accounts, mutual funds, and collective trust funds investing in debt and equity instruments, and common stock of the Company. In the prior year, participants may have elected to have a portion of their account balance invested in a General Account, which was comprised of investments in guaranteed interest contracts with an insurance company.</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Investment Valuation and Income Recognition</w:t>
      </w:r>
      <w:r>
        <w:rPr>
          <w:color w:val="000000"/>
        </w:rPr>
        <w:t xml:space="preserve"> – </w:t>
      </w:r>
      <w:r>
        <w:rPr>
          <w:rFonts w:ascii="Times New Roman;serif" w:hAnsi="Times New Roman;serif"/>
          <w:b w:val="false"/>
          <w:color w:val="000000"/>
          <w:sz w:val="22"/>
        </w:rPr>
        <w:t>Investments are reported at fair value. Fair value is the price that would be received to sell an asset or paid to transfer a liability in an orderly transaction between market participants at the measurement date, as described more fully in note 3.</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color w:val="000000"/>
        </w:rPr>
      </w:pPr>
      <w:r>
        <w:rPr>
          <w:color w:val="000000"/>
        </w:rPr>
        <w:t>    </w:t>
      </w:r>
      <w:r>
        <w:rPr>
          <w:rFonts w:ascii="Times New Roman;serif" w:hAnsi="Times New Roman;serif"/>
          <w:b w:val="false"/>
          <w:color w:val="000000"/>
          <w:sz w:val="22"/>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Notes Receivable From Participants</w:t>
      </w:r>
      <w:r>
        <w:rPr>
          <w:color w:val="000000"/>
        </w:rPr>
        <w:t xml:space="preserve"> – </w:t>
      </w:r>
      <w:r>
        <w:rPr>
          <w:rFonts w:ascii="Times New Roman;serif" w:hAnsi="Times New Roman;serif"/>
          <w:b w:val="false"/>
          <w:color w:val="000000"/>
          <w:sz w:val="22"/>
        </w:rPr>
        <w:t>Notes receivable from participants are reported at their unpaid principal balances plus any accrued but unpaid interest. Related fees are recorded as administrative expenses and are charged to expense when incurred. If a participant ceases to make loan repayments and the Plan Administrator deems the participant loan to be in default, the participant loan balance is reduced and a benefit is recorded in accordance with the plan document.</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Subsequent Events</w:t>
      </w:r>
      <w:r>
        <w:rPr>
          <w:color w:val="000000"/>
        </w:rPr>
        <w:t xml:space="preserve"> – </w:t>
      </w:r>
      <w:r>
        <w:rPr>
          <w:rFonts w:ascii="Times New Roman;serif" w:hAnsi="Times New Roman;serif"/>
          <w:b w:val="false"/>
          <w:color w:val="000000"/>
          <w:sz w:val="22"/>
        </w:rPr>
        <w:t>The Plan has evaluated subsequent events through June 29, 2026, the date the financial statements were issued.</w:t>
      </w:r>
    </w:p>
    <w:p>
      <w:pPr>
        <w:pStyle w:val="TextBody"/>
        <w:bidi w:val="0"/>
        <w:spacing w:before="0" w:after="0"/>
        <w:ind w:left="0" w:right="0" w:hanging="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45b653e61e543d481760fb4243a4870_1317">
        <w:r>
          <w:rPr>
            <w:rStyle w:val="InternetLink"/>
            <w:rFonts w:ascii="Palatino;serif" w:hAnsi="Palatino;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CASS INFORMATION SYSTEMS,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401(k)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40" w:before="0" w:after="0"/>
        <w:ind w:left="0" w:right="0" w:hanging="440"/>
        <w:jc w:val="both"/>
        <w:rPr>
          <w:rFonts w:ascii="Times New Roman;serif" w:hAnsi="Times New Roman;serif"/>
          <w:b/>
          <w:color w:val="000000"/>
          <w:sz w:val="22"/>
        </w:rPr>
      </w:pPr>
      <w:r>
        <w:rPr>
          <w:rFonts w:ascii="Times New Roman;serif" w:hAnsi="Times New Roman;serif"/>
          <w:b/>
          <w:color w:val="000000"/>
          <w:sz w:val="22"/>
        </w:rPr>
        <w:t>NOTE 3 –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Plan’s investments are reported at fair value in the accompanying statements of net assets available for benefits. The methods used to measure fair value may produce an amount that may not be indicative of net realizable value or reflective of future values. Furthermore, although the Plan Administrator believes the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fair value measurement accounting literature establishes a value hierarchy that prioritizes the inputs to valuation techniques used to measure fair value. This hierarchy consists of three broad levels:</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color w:val="000000"/>
        </w:rPr>
      </w:pPr>
      <w:r>
        <w:rPr>
          <w:color w:val="000000"/>
        </w:rPr>
        <w:t>    </w:t>
      </w:r>
      <w:r>
        <w:rPr>
          <w:rFonts w:ascii="Times New Roman;serif" w:hAnsi="Times New Roman;serif"/>
          <w:b w:val="false"/>
          <w:color w:val="000000"/>
          <w:sz w:val="22"/>
        </w:rPr>
        <w:t>Level 1 – Inputs to the valuation methodology are unadjusted quoted prices for identical assets and liabilities in active markets and have the highest priority.</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color w:val="000000"/>
        </w:rPr>
      </w:pPr>
      <w:r>
        <w:rPr>
          <w:color w:val="000000"/>
        </w:rPr>
        <w:t>    </w:t>
      </w:r>
      <w:r>
        <w:rPr>
          <w:rFonts w:ascii="Times New Roman;serif" w:hAnsi="Times New Roman;serif"/>
          <w:b w:val="false"/>
          <w:color w:val="000000"/>
          <w:sz w:val="22"/>
        </w:rPr>
        <w:t>Level 2 – Inputs to the valuation methodology include quoted prices for similar assets or liabilities in active markets, quoted prices for identical or similar assets or liabilities in inactive markets, inputs other than quoted prices that are observable for the asset or liability, or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pStyle w:val="TextBody"/>
        <w:bidi w:val="0"/>
        <w:spacing w:before="0" w:after="0"/>
        <w:ind w:left="0" w:right="0" w:hanging="440"/>
        <w:jc w:val="both"/>
        <w:rPr/>
      </w:pPr>
      <w:r>
        <w:rPr/>
      </w:r>
    </w:p>
    <w:p>
      <w:pPr>
        <w:pStyle w:val="TextBody"/>
        <w:bidi w:val="0"/>
        <w:spacing w:lineRule="auto" w:line="288" w:before="0" w:after="0"/>
        <w:ind w:left="0" w:right="0" w:hanging="440"/>
        <w:jc w:val="both"/>
        <w:rPr>
          <w:color w:val="000000"/>
        </w:rPr>
      </w:pPr>
      <w:r>
        <w:rPr>
          <w:color w:val="000000"/>
        </w:rPr>
        <w:t>    </w:t>
      </w:r>
      <w:r>
        <w:rPr>
          <w:rFonts w:ascii="Times New Roman;serif" w:hAnsi="Times New Roman;serif"/>
          <w:b w:val="false"/>
          <w:color w:val="000000"/>
          <w:sz w:val="22"/>
        </w:rPr>
        <w:t>Level 3 – Inputs to the valuation methodology are unobservable and have the lowest priority.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Plan uses appropriate valuation techniques based on the available inputs to measure the fair value of its investments. When available, the Plan measures fair value using Level 1 inputs because they generally provide the most reliable evidence of fair value. Level 3 inputs are used only when Level 1 and Level 2 inputs are not available.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Following is a description of the valuation methodologies used for assets measured at fair value. There have been no changes in the methodologies used at December 31, 2025 and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Employer common stock – valued at the closing price reported on the active market on which the individual securities are traded (Level 1 inputs).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Mutual funds – valued at the daily closing price as reported by the fund (Level 1 inputs). Mutual funds held by the Plan are open-end mutual funds which are registered with the Securities and Exchange Commission. These funds are required to publish their daily net asset value (NAV) and to transact at that price. The mutual funds held by the Plan are deemed to be actively traded.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45b653e61e543d481760fb4243a4870_1317">
        <w:r>
          <w:rPr>
            <w:rStyle w:val="InternetLink"/>
            <w:rFonts w:ascii="Palatino;serif" w:hAnsi="Palatino;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CASS INFORMATION SYSTEMS,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401(k)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Collective trust funds – valued at the NAV of the units of the Principal Trust Company collective trusts. The NAV, as provided by the Trustee, is used as a practical expedient to estimate fair value. The NAV is based on the fair value of the underlying investments held by the fund less its liabilities. The investments have no unfunded commitments and can be redeemed daily with a one day notice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Pooled separate accounts – valued at the NAV of the pooled separate accounts. The NAV, as provided by the Trustee, is used as a practical expedient to estimate fair value. The NAV is based on the fair value of the underlying investments held by the fund less its liabilities. The investments have no unfunded commitments and can be redeemed daily with a one day notice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tables set forth, by level with the fair value hierarchy, the Plan’s investments at fair value as of December 31, 2025 and 2024:</w:t>
      </w:r>
    </w:p>
    <w:tbl>
      <w:tblPr>
        <w:tblW w:w="10205" w:type="dxa"/>
        <w:jc w:val="left"/>
        <w:tblInd w:w="0" w:type="dxa"/>
        <w:tblLayout w:type="fixed"/>
        <w:tblCellMar>
          <w:top w:w="28" w:type="dxa"/>
          <w:left w:w="28" w:type="dxa"/>
          <w:bottom w:w="28" w:type="dxa"/>
          <w:right w:w="28" w:type="dxa"/>
        </w:tblCellMar>
      </w:tblPr>
      <w:tblGrid>
        <w:gridCol w:w="635"/>
        <w:gridCol w:w="434"/>
        <w:gridCol w:w="427"/>
        <w:gridCol w:w="451"/>
        <w:gridCol w:w="2314"/>
        <w:gridCol w:w="233"/>
        <w:gridCol w:w="599"/>
        <w:gridCol w:w="1153"/>
        <w:gridCol w:w="310"/>
        <w:gridCol w:w="608"/>
        <w:gridCol w:w="1169"/>
        <w:gridCol w:w="315"/>
        <w:gridCol w:w="211"/>
        <w:gridCol w:w="1186"/>
        <w:gridCol w:w="160"/>
      </w:tblGrid>
      <w:tr>
        <w:trPr/>
        <w:tc>
          <w:tcPr>
            <w:tcW w:w="63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2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market prices in active market for identical assets (Level 1)</w:t>
            </w:r>
          </w:p>
        </w:tc>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46,226,170 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46,226,170 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common stock</w:t>
            </w:r>
          </w:p>
        </w:tc>
        <w:tc>
          <w:tcPr>
            <w:tcW w:w="2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617,038 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617,038 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vAlign w:val="center"/>
          </w:tcPr>
          <w:p>
            <w:pPr>
              <w:pStyle w:val="TableContents"/>
              <w:bidi w:val="0"/>
              <w:spacing w:before="0" w:after="283"/>
              <w:jc w:val="left"/>
              <w:rPr>
                <w:sz w:val="4"/>
                <w:szCs w:val="4"/>
              </w:rPr>
            </w:pPr>
            <w:r>
              <w:rPr>
                <w:sz w:val="4"/>
                <w:szCs w:val="4"/>
              </w:rPr>
            </w:r>
          </w:p>
        </w:tc>
        <w:tc>
          <w:tcPr>
            <w:tcW w:w="2998"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46,843,208 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46,843,208 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Measured at net asset value:</w:t>
            </w:r>
          </w:p>
        </w:tc>
        <w:tc>
          <w:tcPr>
            <w:tcW w:w="2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Pooled separate accounts</w:t>
            </w:r>
          </w:p>
        </w:tc>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5,161,052 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trust funds</w:t>
            </w:r>
          </w:p>
        </w:tc>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85,492,163 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137,496,423 </w:t>
            </w:r>
          </w:p>
        </w:tc>
        <w:tc>
          <w:tcPr>
            <w:tcW w:w="16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40"/>
        <w:jc w:val="both"/>
        <w:rPr/>
      </w:pPr>
      <w:r>
        <w:rPr/>
      </w:r>
    </w:p>
    <w:tbl>
      <w:tblPr>
        <w:tblW w:w="10205" w:type="dxa"/>
        <w:jc w:val="left"/>
        <w:tblInd w:w="0" w:type="dxa"/>
        <w:tblLayout w:type="fixed"/>
        <w:tblCellMar>
          <w:top w:w="28" w:type="dxa"/>
          <w:left w:w="28" w:type="dxa"/>
          <w:bottom w:w="28" w:type="dxa"/>
          <w:right w:w="28" w:type="dxa"/>
        </w:tblCellMar>
      </w:tblPr>
      <w:tblGrid>
        <w:gridCol w:w="635"/>
        <w:gridCol w:w="434"/>
        <w:gridCol w:w="427"/>
        <w:gridCol w:w="451"/>
        <w:gridCol w:w="2314"/>
        <w:gridCol w:w="233"/>
        <w:gridCol w:w="599"/>
        <w:gridCol w:w="1153"/>
        <w:gridCol w:w="310"/>
        <w:gridCol w:w="608"/>
        <w:gridCol w:w="1169"/>
        <w:gridCol w:w="315"/>
        <w:gridCol w:w="211"/>
        <w:gridCol w:w="1186"/>
        <w:gridCol w:w="160"/>
      </w:tblGrid>
      <w:tr>
        <w:trPr/>
        <w:tc>
          <w:tcPr>
            <w:tcW w:w="63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2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market prices in active market for identical assets (Level 1)</w:t>
            </w:r>
          </w:p>
        </w:tc>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4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43,777,956 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43,777,956 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common stock</w:t>
            </w:r>
          </w:p>
        </w:tc>
        <w:tc>
          <w:tcPr>
            <w:tcW w:w="2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720,645 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720,645 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vAlign w:val="center"/>
          </w:tcPr>
          <w:p>
            <w:pPr>
              <w:pStyle w:val="TableContents"/>
              <w:bidi w:val="0"/>
              <w:spacing w:before="0" w:after="283"/>
              <w:jc w:val="left"/>
              <w:rPr>
                <w:sz w:val="4"/>
                <w:szCs w:val="4"/>
              </w:rPr>
            </w:pPr>
            <w:r>
              <w:rPr>
                <w:sz w:val="4"/>
                <w:szCs w:val="4"/>
              </w:rPr>
            </w:r>
          </w:p>
        </w:tc>
        <w:tc>
          <w:tcPr>
            <w:tcW w:w="2998"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44,498,601 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44,498,601 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Measured at net asset value:</w:t>
            </w:r>
          </w:p>
        </w:tc>
        <w:tc>
          <w:tcPr>
            <w:tcW w:w="2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Pooled separate accounts</w:t>
            </w:r>
          </w:p>
        </w:tc>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4,037,801 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trust funds</w:t>
            </w:r>
          </w:p>
        </w:tc>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73,024,519 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121,560,921 </w:t>
            </w:r>
          </w:p>
        </w:tc>
        <w:tc>
          <w:tcPr>
            <w:tcW w:w="16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45b653e61e543d481760fb4243a4870_1317">
        <w:r>
          <w:rPr>
            <w:rStyle w:val="InternetLink"/>
            <w:rFonts w:ascii="Palatino;serif" w:hAnsi="Palatino;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CASS INFORMATION SYSTEMS,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401(k)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NOTE 4 – RELATED PARTY AND PARTY-IN-INTEREST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Certain Plan investments are units of pooled separate accounts or collective trust funds managed by Principal Life Insurance Company or affiliates thereof. Principal Life Insurance Company is the Trustee as defined by the Plan and, therefore, these transactions qualify as party-in-interest transactions. Fees paid by the Plan for the investment management and recordkeeping services amounted to $140,307 and $99,911 for the years ended December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Plan invests in common stock of the Company. At December 31, 2025 and 2024, the Plan held 14,861 and 17,615 shares of Company common stock, with fair values of $617,038 and $720,645, respectively. During the years ended December 31, 2025 and 2024, the Plan received cash dividends totaling $23,076 and $24,774, respectively, on shares of Company common stock.</w:t>
      </w:r>
    </w:p>
    <w:p>
      <w:pPr>
        <w:pStyle w:val="TextBody"/>
        <w:bidi w:val="0"/>
        <w:spacing w:before="0" w:after="0"/>
        <w:ind w:left="0" w:right="0" w:hanging="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NOTE 5 – PLAN 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Although it has not expressed any intent to do so, the Plan Administrator has the right under the Plan to terminate the Plan subject to the provisions set forth in ERISA. In the event of plan termination, participants become 100% vested in their accounts.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NOTE 6 – RISKS AND UNCERTAINTIES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NOTE 7 – FEDERAL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Internal Revenue Service issued its latest opinion letter on June 30, 2020, which indicates the pre-approved plan document adopted by the Plan qualifies under the provisions of Section 401(a) and the trust is exempt from federal income taxes under the provisions of Section 501(a) of the Internal Revenue Code, as amended. While various amendments have been made to the Plan since 2020, in the opinion of the Plan Administrator, the Plan and its underlying trust have operated within the terms of the Plan and remain qualified under the applicable provisions of the Internal Revenue Code.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45b653e61e543d481760fb4243a4870_1317">
        <w:r>
          <w:rPr>
            <w:rStyle w:val="InternetLink"/>
            <w:rFonts w:ascii="Palatino;serif" w:hAnsi="Palatino;serif"/>
            <w:b/>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Schedule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CASS INFORMATION SYSTEMS,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401(k)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Employer Identification Number: 43-1265338</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Plan Number: 002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H, line 4i – Schedule of Assets (Held at End of Year)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69"/>
        <w:gridCol w:w="903"/>
        <w:gridCol w:w="907"/>
        <w:gridCol w:w="1669"/>
        <w:gridCol w:w="1650"/>
        <w:gridCol w:w="1655"/>
        <w:gridCol w:w="193"/>
        <w:gridCol w:w="186"/>
        <w:gridCol w:w="188"/>
        <w:gridCol w:w="201"/>
        <w:gridCol w:w="1080"/>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t>
            </w:r>
          </w:p>
        </w:tc>
        <w:tc>
          <w:tcPr>
            <w:tcW w:w="2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 Identity of issuer, borrower, lessor or similar party</w:t>
            </w:r>
          </w:p>
        </w:tc>
        <w:tc>
          <w:tcPr>
            <w:tcW w:w="4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 Description of investment including maturity date, rate of interest, collateral, par, or maturity value</w:t>
            </w:r>
          </w:p>
        </w:tc>
        <w:tc>
          <w:tcPr>
            <w:tcW w:w="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 Cost</w:t>
            </w:r>
          </w:p>
        </w:tc>
        <w:tc>
          <w:tcPr>
            <w:tcW w:w="1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 Current value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4974"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Pooled Separate Accounts:</w:t>
            </w:r>
          </w:p>
        </w:tc>
        <w:tc>
          <w:tcPr>
            <w:tcW w:w="5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 Insurance Company</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Plus Bond Account</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2,355,287 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 Insurance Company</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Property Account</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827,730 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 Insurance Company</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 Insurance Company</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S&amp;P 600 Index Fund</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1,802,479 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Collective Trust Funds: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Income Fund</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2,362,661 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Lifetime Hybrid 2015 Fund</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Lifetime Hybrid 2020 Fund</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3,124,086 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Lifetime Hybrid 2025 Fund</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2,055,508 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Lifetime Hybrid 2030 Fund</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17,611,522 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Lifetime Hybrid 2035 Fund</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11,947,542 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Lifetime Hybrid 2040 Fund</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15,021,219 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Lifetime Hybrid 2045 Fund</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5,003,007 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Lifetime Hybrid 2050 Fund</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13,575,494 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Lifetime Hybrid 2055 Fund</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3,597,529 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Lifetime Hybrid 2060 Fund</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3,279,480 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Lifetime Hybrid 2065 Fund</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1,182,630 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Lifetime Hybrid 2070 Fund</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40,712 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Global Investors Trust Company</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Stable Value Fund</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6,540,369 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4974"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w:t>
            </w:r>
          </w:p>
        </w:tc>
        <w:tc>
          <w:tcPr>
            <w:tcW w:w="5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Blackrock</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Blackrock Inflation Protected Bond Fund</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460,773 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Fidelity Investments</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Fidelity Extended Market Index Fund</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10,086,431 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Fidelity Investments</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Fidelity Total International Index Fund</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3,719,094 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Fidelity Investments</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Fidelity 500 Index Fund</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18,307,568 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4974"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JP Morgan Funds</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JP Morgan Equity Income Fund</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1,401,302 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4974"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MFS Investment Management</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MFS Growth Fund</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7,835,057 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Group</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Total Bond Market Index Fund</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2,619,273 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Group</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International Growth Fund</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1,796,672 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Cass Information Systems, Inc.</w:t>
            </w:r>
          </w:p>
        </w:tc>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Employer Common Stock</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617,038 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Participant loans</w:t>
            </w:r>
          </w:p>
        </w:tc>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rates at 5.00% to 10.50%</w:t>
            </w:r>
          </w:p>
        </w:tc>
        <w:tc>
          <w:tcPr>
            <w:tcW w:w="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2,110,331 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139,606,754 </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Party-in-interest.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Not included for participant-directed investment programs, as permitted under the instructions to Form 5500.</w:t>
      </w:r>
    </w:p>
    <w:p>
      <w:pPr>
        <w:pStyle w:val="TextBody"/>
        <w:bidi w:val="0"/>
        <w:spacing w:before="0" w:after="0"/>
        <w:jc w:val="both"/>
        <w:rPr/>
      </w:pPr>
      <w:r>
        <w:rPr/>
      </w:r>
    </w:p>
    <w:p>
      <w:pPr>
        <w:pStyle w:val="TextBody"/>
        <w:bidi w:val="0"/>
        <w:spacing w:lineRule="auto" w:line="288" w:before="0" w:after="0"/>
        <w:ind w:left="0" w:right="0" w:hanging="270"/>
        <w:jc w:val="both"/>
        <w:rPr>
          <w:rFonts w:ascii="Times New Roman;serif" w:hAnsi="Times New Roman;serif"/>
          <w:b w:val="false"/>
          <w:color w:val="000000"/>
          <w:sz w:val="22"/>
        </w:rPr>
      </w:pPr>
      <w:r>
        <w:rPr>
          <w:rFonts w:ascii="Times New Roman;serif" w:hAnsi="Times New Roman;serif"/>
          <w:b w:val="false"/>
          <w:color w:val="000000"/>
          <w:sz w:val="22"/>
        </w:rPr>
        <w:t>See accompanying report of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45b653e61e543d481760fb4243a4870_1317">
        <w:r>
          <w:rPr>
            <w:rStyle w:val="InternetLink"/>
            <w:rFonts w:ascii="Palatino;serif" w:hAnsi="Palatino;serif"/>
            <w:b/>
            <w:color w:val="0000FF"/>
            <w:sz w:val="20"/>
            <w:u w:val="single"/>
          </w:rPr>
          <w:t>Table of Contents</w:t>
        </w:r>
      </w:hyperlink>
      <w:r>
        <w:rPr>
          <w:color w:val="000000"/>
        </w:rPr>
        <w:t xml:space="preserve"> </w:t>
      </w:r>
    </w:p>
    <w:p>
      <w:pPr>
        <w:pStyle w:val="TextBody"/>
        <w:bidi w:val="0"/>
        <w:spacing w:lineRule="auto" w:line="240" w:before="36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3253"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482"/>
        <w:gridCol w:w="482"/>
        <w:gridCol w:w="686"/>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bmcconsent.htm">
              <w:r>
                <w:rPr>
                  <w:rStyle w:val="InternetLink"/>
                  <w:rFonts w:ascii="Times New Roman;serif" w:hAnsi="Times New Roman;serif"/>
                  <w:b w:val="false"/>
                  <w:color w:val="0000FF"/>
                  <w:sz w:val="20"/>
                  <w:u w:val="single"/>
                </w:rPr>
                <w:t>Consent of LBMC</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45b653e61e543d481760fb4243a4870_1317">
        <w:r>
          <w:rPr>
            <w:rStyle w:val="InternetLink"/>
            <w:rFonts w:ascii="Palatino;serif" w:hAnsi="Palatino;serif"/>
            <w:b/>
            <w:color w:val="0000FF"/>
            <w:sz w:val="20"/>
            <w:u w:val="single"/>
          </w:rPr>
          <w:t>Table of Contents</w:t>
        </w:r>
      </w:hyperlink>
      <w:r>
        <w:rPr>
          <w:color w:val="000000"/>
        </w:rPr>
        <w:t xml:space="preserve"> </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4"/>
        </w:rPr>
        <w:t xml:space="preserve">The Plan. </w:t>
      </w:r>
      <w:r>
        <w:rPr>
          <w:rFonts w:ascii="Times New Roman;serif" w:hAnsi="Times New Roman;serif"/>
          <w:b w:val="false"/>
          <w:color w:val="000000"/>
          <w:sz w:val="24"/>
        </w:rPr>
        <w:t>Pursuant to the requirements of the Securities Exchange Act of 1934, the trustees (or other person who administer the employee benefit plan) have duly caused this annual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CASS INFORMATION SYSTEMS, INC. 401(K) PLAN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Michael J. Normile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Normile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Trustee</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Date: June 29,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1828800" cy="78105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1828800" cy="7810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2"/>
        </w:rPr>
      </w:pPr>
      <w:r>
        <w:rPr>
          <w:rFonts w:ascii="sans-serif" w:hAnsi="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We consent to the incorporation by reference in the Registration Statement No. 333-181772 on Form S</w:t>
        <w:noBreakHyphen/>
        <w:t>8 of our report dated June 29, 2026, appearing in this Annual Report on Form 11-K of the Cass Information Systems, Inc. 401(k) Plan as of and for the year ended December 31, 2025.</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/s/ LBMC, PC</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Brentwood, Tennessee</w:t>
      </w:r>
    </w:p>
    <w:p>
      <w:pPr>
        <w:pStyle w:val="TextBody"/>
        <w:bidi w:val="0"/>
        <w:spacing w:lineRule="auto" w:line="268"/>
        <w:jc w:val="left"/>
        <w:rPr>
          <w:rFonts w:ascii="sans-serif" w:hAnsi="sans-serif"/>
          <w:b w:val="false"/>
          <w:color w:val="000000"/>
          <w:sz w:val="22"/>
        </w:rPr>
      </w:pPr>
      <w:r>
        <w:rPr>
          <w:rFonts w:ascii="sans-serif" w:hAnsi="sans-serif"/>
          <w:b w:val="false"/>
          <w:color w:val="000000"/>
          <w:sz w:val="22"/>
        </w:rPr>
        <w:t>June 29, 2026</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Palatino">
    <w:altName w:val="serif"/>
    <w:charset w:val="01"/>
    <w:family w:val="auto"/>
    <w:pitch w:val="default"/>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4105</Words>
  <Characters>22864</Characters>
  <CharactersWithSpaces>26742</CharactersWithSpaces>
  <Paragraphs>484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