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t>UNITED STATES</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ind w:left="5140"/>
        <w:spacing w:after="0"/>
        <w:rPr>
          <w:sz w:val="20"/>
          <w:szCs w:val="20"/>
          <w:color w:val="auto"/>
        </w:rPr>
      </w:pPr>
      <w:r>
        <w:rPr>
          <w:rFonts w:ascii="Arial" w:cs="Arial" w:eastAsia="Arial" w:hAnsi="Arial"/>
          <w:sz w:val="14"/>
          <w:szCs w:val="14"/>
          <w:b w:val="1"/>
          <w:bCs w:val="1"/>
          <w:color w:val="auto"/>
        </w:rPr>
        <w:t>_________________</w:t>
      </w:r>
    </w:p>
    <w:p>
      <w:pPr>
        <w:jc w:val="center"/>
        <w:spacing w:after="0"/>
        <w:rPr>
          <w:sz w:val="20"/>
          <w:szCs w:val="20"/>
          <w:color w:val="auto"/>
        </w:rPr>
      </w:pPr>
      <w:r>
        <w:rPr>
          <w:rFonts w:ascii="Arial" w:cs="Arial" w:eastAsia="Arial" w:hAnsi="Arial"/>
          <w:sz w:val="22"/>
          <w:szCs w:val="22"/>
          <w:b w:val="1"/>
          <w:bCs w:val="1"/>
          <w:color w:val="auto"/>
        </w:rPr>
        <w:t>FORM 10-Q</w:t>
      </w:r>
    </w:p>
    <w:p>
      <w:pPr>
        <w:spacing w:after="0" w:line="201"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225" w:lineRule="exact"/>
        <w:rPr>
          <w:sz w:val="24"/>
          <w:szCs w:val="24"/>
          <w:color w:val="auto"/>
        </w:rPr>
      </w:pPr>
    </w:p>
    <w:p>
      <w:pPr>
        <w:ind w:left="220"/>
        <w:spacing w:after="0"/>
        <w:tabs>
          <w:tab w:leader="none" w:pos="2600" w:val="left"/>
        </w:tabs>
        <w:rPr>
          <w:sz w:val="20"/>
          <w:szCs w:val="20"/>
          <w:color w:val="auto"/>
        </w:rPr>
      </w:pPr>
      <w:r>
        <w:rPr>
          <w:rFonts w:ascii="Arial" w:cs="Arial" w:eastAsia="Arial" w:hAnsi="Arial"/>
          <w:sz w:val="18"/>
          <w:szCs w:val="18"/>
          <w:color w:val="auto"/>
        </w:rPr>
        <w:t>For the quarterly period ended</w:t>
      </w:r>
      <w:r>
        <w:rPr>
          <w:sz w:val="20"/>
          <w:szCs w:val="20"/>
          <w:color w:val="auto"/>
        </w:rPr>
        <w:tab/>
      </w:r>
      <w:r>
        <w:rPr>
          <w:rFonts w:ascii="Arial" w:cs="Arial" w:eastAsia="Arial" w:hAnsi="Arial"/>
          <w:sz w:val="15"/>
          <w:szCs w:val="15"/>
          <w:color w:val="auto"/>
        </w:rPr>
        <w:t>June 30,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1528445</wp:posOffset>
            </wp:positionH>
            <wp:positionV relativeFrom="paragraph">
              <wp:posOffset>-13970</wp:posOffset>
            </wp:positionV>
            <wp:extent cx="12636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3650"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66" w:lineRule="exact"/>
        <w:rPr>
          <w:sz w:val="24"/>
          <w:szCs w:val="24"/>
          <w:color w:val="auto"/>
        </w:rPr>
      </w:pPr>
    </w:p>
    <w:p>
      <w:pPr>
        <w:ind w:left="220" w:right="2680" w:hanging="212"/>
        <w:spacing w:after="0" w:line="474" w:lineRule="auto"/>
        <w:tabs>
          <w:tab w:leader="none" w:pos="244" w:val="left"/>
        </w:tabs>
        <w:numPr>
          <w:ilvl w:val="0"/>
          <w:numId w:val="2"/>
        </w:numPr>
        <w:rPr>
          <w:rFonts w:ascii="MS PGothic" w:cs="MS PGothic" w:eastAsia="MS PGothic" w:hAnsi="MS PGothic"/>
          <w:sz w:val="22"/>
          <w:szCs w:val="22"/>
          <w:color w:val="auto"/>
        </w:rPr>
      </w:pPr>
      <w:r>
        <w:rPr>
          <w:rFonts w:ascii="Arial" w:cs="Arial" w:eastAsia="Arial" w:hAnsi="Arial"/>
          <w:sz w:val="18"/>
          <w:szCs w:val="18"/>
          <w:color w:val="auto"/>
        </w:rPr>
        <w:t>TRANSITION REPORT PURSUANT TO SECTION 13 OR 15(d) OF THE SECURITIES EXCHANGE ACT OF 1934 For the transition period from _____________ to _____________</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000-20827</w:t>
      </w:r>
    </w:p>
    <w:p>
      <w:pPr>
        <w:spacing w:after="0" w:line="8" w:lineRule="exact"/>
        <w:rPr>
          <w:sz w:val="24"/>
          <w:szCs w:val="24"/>
          <w:color w:val="auto"/>
        </w:rPr>
      </w:pPr>
    </w:p>
    <w:p>
      <w:pPr>
        <w:ind w:left="5180"/>
        <w:spacing w:after="0"/>
        <w:rPr>
          <w:sz w:val="20"/>
          <w:szCs w:val="20"/>
          <w:color w:val="auto"/>
        </w:rPr>
      </w:pPr>
      <w:r>
        <w:rPr>
          <w:rFonts w:ascii="Arial" w:cs="Arial" w:eastAsia="Arial" w:hAnsi="Arial"/>
          <w:sz w:val="14"/>
          <w:szCs w:val="14"/>
          <w:b w:val="1"/>
          <w:bCs w:val="1"/>
          <w:color w:val="auto"/>
        </w:rPr>
        <w:t>________________</w:t>
      </w:r>
    </w:p>
    <w:p>
      <w:pPr>
        <w:ind w:left="3780"/>
        <w:spacing w:after="0"/>
        <w:rPr>
          <w:sz w:val="20"/>
          <w:szCs w:val="20"/>
          <w:color w:val="auto"/>
        </w:rPr>
      </w:pPr>
      <w:r>
        <w:rPr>
          <w:rFonts w:ascii="Arial" w:cs="Arial" w:eastAsia="Arial" w:hAnsi="Arial"/>
          <w:sz w:val="22"/>
          <w:szCs w:val="22"/>
          <w:b w:val="1"/>
          <w:bCs w:val="1"/>
          <w:color w:val="auto"/>
        </w:rPr>
        <w:t>CASS INFORMATION SYSTEMS, INC.</w:t>
      </w: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9" w:lineRule="exact"/>
        <w:rPr>
          <w:sz w:val="24"/>
          <w:szCs w:val="24"/>
          <w:color w:val="auto"/>
        </w:rPr>
      </w:pPr>
    </w:p>
    <w:tbl>
      <w:tblPr>
        <w:tblLayout w:type="fixed"/>
        <w:tblInd w:w="1420" w:type="dxa"/>
        <w:tblCellMar>
          <w:top w:w="0" w:type="dxa"/>
          <w:left w:w="0" w:type="dxa"/>
          <w:bottom w:w="0" w:type="dxa"/>
          <w:right w:w="0" w:type="dxa"/>
        </w:tblCellMar>
      </w:tblPr>
      <w:tr>
        <w:trPr>
          <w:trHeight w:val="228"/>
        </w:trPr>
        <w:tc>
          <w:tcPr>
            <w:tcW w:w="4680" w:type="dxa"/>
            <w:vAlign w:val="bottom"/>
          </w:tcPr>
          <w:p>
            <w:pPr>
              <w:jc w:val="center"/>
              <w:ind w:right="1372"/>
              <w:spacing w:after="0"/>
              <w:rPr>
                <w:sz w:val="20"/>
                <w:szCs w:val="20"/>
                <w:color w:val="auto"/>
              </w:rPr>
            </w:pPr>
            <w:r>
              <w:rPr>
                <w:rFonts w:ascii="Arial" w:cs="Arial" w:eastAsia="Arial" w:hAnsi="Arial"/>
                <w:sz w:val="18"/>
                <w:szCs w:val="18"/>
                <w:b w:val="1"/>
                <w:bCs w:val="1"/>
                <w:color w:val="auto"/>
                <w:w w:val="89"/>
              </w:rPr>
              <w:t>Missouri</w:t>
            </w:r>
          </w:p>
        </w:tc>
        <w:tc>
          <w:tcPr>
            <w:tcW w:w="4000" w:type="dxa"/>
            <w:vAlign w:val="bottom"/>
          </w:tcPr>
          <w:p>
            <w:pPr>
              <w:jc w:val="right"/>
              <w:ind w:right="752"/>
              <w:spacing w:after="0"/>
              <w:rPr>
                <w:sz w:val="20"/>
                <w:szCs w:val="20"/>
                <w:color w:val="auto"/>
              </w:rPr>
            </w:pPr>
            <w:r>
              <w:rPr>
                <w:rFonts w:ascii="Arial" w:cs="Arial" w:eastAsia="Arial" w:hAnsi="Arial"/>
                <w:sz w:val="18"/>
                <w:szCs w:val="18"/>
                <w:b w:val="1"/>
                <w:bCs w:val="1"/>
                <w:color w:val="auto"/>
              </w:rPr>
              <w:t>43-1265338</w:t>
            </w:r>
          </w:p>
        </w:tc>
      </w:tr>
      <w:tr>
        <w:trPr>
          <w:trHeight w:val="243"/>
        </w:trPr>
        <w:tc>
          <w:tcPr>
            <w:tcW w:w="4680" w:type="dxa"/>
            <w:vAlign w:val="bottom"/>
          </w:tcPr>
          <w:p>
            <w:pPr>
              <w:jc w:val="center"/>
              <w:ind w:right="1372"/>
              <w:spacing w:after="0"/>
              <w:rPr>
                <w:sz w:val="20"/>
                <w:szCs w:val="20"/>
                <w:color w:val="auto"/>
              </w:rPr>
            </w:pPr>
            <w:r>
              <w:rPr>
                <w:rFonts w:ascii="Arial" w:cs="Arial" w:eastAsia="Arial" w:hAnsi="Arial"/>
                <w:sz w:val="18"/>
                <w:szCs w:val="18"/>
                <w:color w:val="auto"/>
                <w:w w:val="90"/>
              </w:rPr>
              <w:t>(State or other jurisdiction of incorporation or</w:t>
            </w:r>
          </w:p>
        </w:tc>
        <w:tc>
          <w:tcPr>
            <w:tcW w:w="4000" w:type="dxa"/>
            <w:vAlign w:val="bottom"/>
          </w:tcPr>
          <w:p>
            <w:pPr>
              <w:jc w:val="center"/>
              <w:ind w:left="1372"/>
              <w:spacing w:after="0"/>
              <w:rPr>
                <w:sz w:val="20"/>
                <w:szCs w:val="20"/>
                <w:color w:val="auto"/>
              </w:rPr>
            </w:pPr>
            <w:r>
              <w:rPr>
                <w:rFonts w:ascii="Arial" w:cs="Arial" w:eastAsia="Arial" w:hAnsi="Arial"/>
                <w:sz w:val="18"/>
                <w:szCs w:val="18"/>
                <w:color w:val="auto"/>
                <w:w w:val="91"/>
              </w:rPr>
              <w:t>(I.R.S. Employer Identification No.)</w:t>
            </w:r>
          </w:p>
        </w:tc>
      </w:tr>
      <w:tr>
        <w:trPr>
          <w:trHeight w:val="243"/>
        </w:trPr>
        <w:tc>
          <w:tcPr>
            <w:tcW w:w="4680" w:type="dxa"/>
            <w:vAlign w:val="bottom"/>
          </w:tcPr>
          <w:p>
            <w:pPr>
              <w:jc w:val="center"/>
              <w:ind w:right="1372"/>
              <w:spacing w:after="0"/>
              <w:rPr>
                <w:sz w:val="20"/>
                <w:szCs w:val="20"/>
                <w:color w:val="auto"/>
              </w:rPr>
            </w:pPr>
            <w:r>
              <w:rPr>
                <w:rFonts w:ascii="Arial" w:cs="Arial" w:eastAsia="Arial" w:hAnsi="Arial"/>
                <w:sz w:val="18"/>
                <w:szCs w:val="18"/>
                <w:color w:val="auto"/>
                <w:w w:val="90"/>
              </w:rPr>
              <w:t>organization)</w:t>
            </w:r>
          </w:p>
        </w:tc>
        <w:tc>
          <w:tcPr>
            <w:tcW w:w="4000" w:type="dxa"/>
            <w:vAlign w:val="bottom"/>
          </w:tcPr>
          <w:p>
            <w:pPr>
              <w:spacing w:after="0"/>
              <w:rPr>
                <w:sz w:val="21"/>
                <w:szCs w:val="21"/>
                <w:color w:val="auto"/>
              </w:rPr>
            </w:pPr>
          </w:p>
        </w:tc>
      </w:tr>
      <w:tr>
        <w:trPr>
          <w:trHeight w:val="243"/>
        </w:trPr>
        <w:tc>
          <w:tcPr>
            <w:tcW w:w="4680" w:type="dxa"/>
            <w:vAlign w:val="bottom"/>
          </w:tcPr>
          <w:p>
            <w:pPr>
              <w:jc w:val="center"/>
              <w:ind w:right="1372"/>
              <w:spacing w:after="0"/>
              <w:rPr>
                <w:sz w:val="20"/>
                <w:szCs w:val="20"/>
                <w:color w:val="auto"/>
              </w:rPr>
            </w:pPr>
            <w:r>
              <w:rPr>
                <w:rFonts w:ascii="Arial" w:cs="Arial" w:eastAsia="Arial" w:hAnsi="Arial"/>
                <w:sz w:val="18"/>
                <w:szCs w:val="18"/>
                <w:b w:val="1"/>
                <w:bCs w:val="1"/>
                <w:color w:val="auto"/>
                <w:w w:val="87"/>
              </w:rPr>
              <w:t>12444 Powerscourt Drive, Suite 550</w:t>
            </w:r>
          </w:p>
        </w:tc>
        <w:tc>
          <w:tcPr>
            <w:tcW w:w="4000" w:type="dxa"/>
            <w:vAlign w:val="bottom"/>
          </w:tcPr>
          <w:p>
            <w:pPr>
              <w:spacing w:after="0"/>
              <w:rPr>
                <w:sz w:val="21"/>
                <w:szCs w:val="21"/>
                <w:color w:val="auto"/>
              </w:rPr>
            </w:pPr>
          </w:p>
        </w:tc>
      </w:tr>
      <w:tr>
        <w:trPr>
          <w:trHeight w:val="243"/>
        </w:trPr>
        <w:tc>
          <w:tcPr>
            <w:tcW w:w="4680" w:type="dxa"/>
            <w:vAlign w:val="bottom"/>
          </w:tcPr>
          <w:p>
            <w:pPr>
              <w:jc w:val="center"/>
              <w:ind w:right="1372"/>
              <w:spacing w:after="0"/>
              <w:rPr>
                <w:sz w:val="20"/>
                <w:szCs w:val="20"/>
                <w:color w:val="auto"/>
              </w:rPr>
            </w:pPr>
            <w:r>
              <w:rPr>
                <w:rFonts w:ascii="Arial" w:cs="Arial" w:eastAsia="Arial" w:hAnsi="Arial"/>
                <w:sz w:val="18"/>
                <w:szCs w:val="18"/>
                <w:b w:val="1"/>
                <w:bCs w:val="1"/>
                <w:color w:val="auto"/>
                <w:w w:val="88"/>
              </w:rPr>
              <w:t>St. Louis, Missouri</w:t>
            </w:r>
          </w:p>
        </w:tc>
        <w:tc>
          <w:tcPr>
            <w:tcW w:w="4000" w:type="dxa"/>
            <w:vAlign w:val="bottom"/>
          </w:tcPr>
          <w:p>
            <w:pPr>
              <w:jc w:val="right"/>
              <w:ind w:right="972"/>
              <w:spacing w:after="0"/>
              <w:rPr>
                <w:sz w:val="20"/>
                <w:szCs w:val="20"/>
                <w:color w:val="auto"/>
              </w:rPr>
            </w:pPr>
            <w:r>
              <w:rPr>
                <w:rFonts w:ascii="Arial" w:cs="Arial" w:eastAsia="Arial" w:hAnsi="Arial"/>
                <w:sz w:val="18"/>
                <w:szCs w:val="18"/>
                <w:b w:val="1"/>
                <w:bCs w:val="1"/>
                <w:color w:val="auto"/>
              </w:rPr>
              <w:t>63131</w:t>
            </w:r>
          </w:p>
        </w:tc>
      </w:tr>
      <w:tr>
        <w:trPr>
          <w:trHeight w:val="243"/>
        </w:trPr>
        <w:tc>
          <w:tcPr>
            <w:tcW w:w="4680" w:type="dxa"/>
            <w:vAlign w:val="bottom"/>
          </w:tcPr>
          <w:p>
            <w:pPr>
              <w:jc w:val="center"/>
              <w:ind w:right="1372"/>
              <w:spacing w:after="0"/>
              <w:rPr>
                <w:sz w:val="20"/>
                <w:szCs w:val="20"/>
                <w:color w:val="auto"/>
              </w:rPr>
            </w:pPr>
            <w:r>
              <w:rPr>
                <w:rFonts w:ascii="Arial" w:cs="Arial" w:eastAsia="Arial" w:hAnsi="Arial"/>
                <w:sz w:val="18"/>
                <w:szCs w:val="18"/>
                <w:color w:val="auto"/>
                <w:w w:val="90"/>
              </w:rPr>
              <w:t>(Address of principal executive offices)</w:t>
            </w:r>
          </w:p>
        </w:tc>
        <w:tc>
          <w:tcPr>
            <w:tcW w:w="4000" w:type="dxa"/>
            <w:vAlign w:val="bottom"/>
          </w:tcPr>
          <w:p>
            <w:pPr>
              <w:jc w:val="center"/>
              <w:ind w:left="1372"/>
              <w:spacing w:after="0"/>
              <w:rPr>
                <w:sz w:val="20"/>
                <w:szCs w:val="20"/>
                <w:color w:val="auto"/>
              </w:rPr>
            </w:pPr>
            <w:r>
              <w:rPr>
                <w:rFonts w:ascii="Arial" w:cs="Arial" w:eastAsia="Arial" w:hAnsi="Arial"/>
                <w:sz w:val="18"/>
                <w:szCs w:val="18"/>
                <w:color w:val="auto"/>
                <w:w w:val="91"/>
              </w:rPr>
              <w:t>(Zip Code)</w:t>
            </w:r>
          </w:p>
        </w:tc>
      </w:tr>
    </w:tbl>
    <w:p>
      <w:pPr>
        <w:spacing w:after="0" w:line="2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(314) 506-5500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9" w:lineRule="exact"/>
        <w:rPr>
          <w:sz w:val="24"/>
          <w:szCs w:val="24"/>
          <w:color w:val="auto"/>
        </w:rPr>
      </w:pPr>
    </w:p>
    <w:p>
      <w:pPr>
        <w:ind w:left="5180"/>
        <w:spacing w:after="0"/>
        <w:rPr>
          <w:sz w:val="20"/>
          <w:szCs w:val="20"/>
          <w:color w:val="auto"/>
        </w:rPr>
      </w:pPr>
      <w:r>
        <w:rPr>
          <w:rFonts w:ascii="Arial" w:cs="Arial" w:eastAsia="Arial" w:hAnsi="Arial"/>
          <w:sz w:val="14"/>
          <w:szCs w:val="14"/>
          <w:b w:val="1"/>
          <w:bCs w:val="1"/>
          <w:color w:val="auto"/>
        </w:rPr>
        <w:t>________________</w:t>
      </w:r>
    </w:p>
    <w:p>
      <w:pPr>
        <w:spacing w:after="0" w:line="197" w:lineRule="exact"/>
        <w:rPr>
          <w:sz w:val="24"/>
          <w:szCs w:val="24"/>
          <w:color w:val="auto"/>
        </w:rPr>
      </w:pPr>
    </w:p>
    <w:p>
      <w:pPr>
        <w:jc w:val="both"/>
        <w:ind w:firstLine="270"/>
        <w:spacing w:after="0" w:line="25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1420"/>
          </w:cols>
          <w:pgMar w:left="240" w:top="239" w:right="239" w:bottom="1440" w:gutter="0" w:footer="0" w:header="0"/>
        </w:sectPr>
      </w:pPr>
    </w:p>
    <w:p>
      <w:pPr>
        <w:ind w:left="4460"/>
        <w:spacing w:after="0"/>
        <w:rPr>
          <w:sz w:val="20"/>
          <w:szCs w:val="20"/>
          <w:color w:val="auto"/>
        </w:rPr>
      </w:pPr>
      <w:r>
        <w:rPr>
          <w:rFonts w:ascii="Arial" w:cs="Arial" w:eastAsia="Arial" w:hAnsi="Arial"/>
          <w:sz w:val="13"/>
          <w:szCs w:val="13"/>
          <w:color w:val="auto"/>
        </w:rPr>
        <w:t>Yes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-105410</wp:posOffset>
            </wp:positionH>
            <wp:positionV relativeFrom="paragraph">
              <wp:posOffset>-17780</wp:posOffset>
            </wp:positionV>
            <wp:extent cx="3035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0353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_____</w:t>
      </w:r>
    </w:p>
    <w:p>
      <w:pPr>
        <w:spacing w:after="0" w:line="234" w:lineRule="exact"/>
        <w:rPr>
          <w:sz w:val="24"/>
          <w:szCs w:val="24"/>
          <w:color w:val="auto"/>
        </w:rPr>
      </w:pPr>
    </w:p>
    <w:p>
      <w:pPr>
        <w:sectPr>
          <w:pgSz w:w="11900" w:h="16838" w:orient="portrait"/>
          <w:cols w:equalWidth="0" w:num="4">
            <w:col w:w="4700" w:space="480"/>
            <w:col w:w="140" w:space="700"/>
            <w:col w:w="220" w:space="300"/>
            <w:col w:w="4880"/>
          </w:cols>
          <w:pgMar w:left="240" w:top="239" w:right="239" w:bottom="1440" w:gutter="0" w:footer="0" w:header="0"/>
          <w:type w:val="continuous"/>
        </w:sectPr>
      </w:pPr>
    </w:p>
    <w:p>
      <w:pPr>
        <w:spacing w:after="0" w:line="19" w:lineRule="exact"/>
        <w:rPr>
          <w:sz w:val="24"/>
          <w:szCs w:val="24"/>
          <w:color w:val="auto"/>
        </w:rPr>
      </w:pPr>
    </w:p>
    <w:p>
      <w:pPr>
        <w:jc w:val="both"/>
        <w:ind w:firstLine="270"/>
        <w:spacing w:after="0" w:line="253"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w:t>
      </w:r>
    </w:p>
    <w:p>
      <w:pPr>
        <w:ind w:left="4460"/>
        <w:spacing w:after="0"/>
        <w:tabs>
          <w:tab w:leader="none" w:pos="5160" w:val="left"/>
          <w:tab w:leader="none" w:pos="6000" w:val="left"/>
          <w:tab w:leader="none" w:pos="652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5"/>
          <w:szCs w:val="15"/>
          <w:color w:val="auto"/>
        </w:rPr>
        <w:t>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3183255</wp:posOffset>
            </wp:positionH>
            <wp:positionV relativeFrom="paragraph">
              <wp:posOffset>-17780</wp:posOffset>
            </wp:positionV>
            <wp:extent cx="3035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3530" cy="8890"/>
                    </a:xfrm>
                    <a:prstGeom prst="rect">
                      <a:avLst/>
                    </a:prstGeom>
                    <a:noFill/>
                  </pic:spPr>
                </pic:pic>
              </a:graphicData>
            </a:graphic>
          </wp:anchor>
        </w:drawing>
      </w:r>
    </w:p>
    <w:p>
      <w:pPr>
        <w:spacing w:after="0" w:line="199" w:lineRule="exact"/>
        <w:rPr>
          <w:sz w:val="24"/>
          <w:szCs w:val="24"/>
          <w:color w:val="auto"/>
        </w:rPr>
      </w:pPr>
    </w:p>
    <w:p>
      <w:pPr>
        <w:jc w:val="both"/>
        <w:ind w:firstLine="270"/>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85" w:lineRule="exact"/>
        <w:rPr>
          <w:sz w:val="24"/>
          <w:szCs w:val="24"/>
          <w:color w:val="auto"/>
        </w:rPr>
      </w:pPr>
    </w:p>
    <w:tbl>
      <w:tblPr>
        <w:tblLayout w:type="fixed"/>
        <w:tblInd w:w="840" w:type="dxa"/>
        <w:tblCellMar>
          <w:top w:w="0" w:type="dxa"/>
          <w:left w:w="0" w:type="dxa"/>
          <w:bottom w:w="0" w:type="dxa"/>
          <w:right w:w="0" w:type="dxa"/>
        </w:tblCellMar>
      </w:tblPr>
      <w:tr>
        <w:trPr>
          <w:trHeight w:val="207"/>
        </w:trPr>
        <w:tc>
          <w:tcPr>
            <w:tcW w:w="3460" w:type="dxa"/>
            <w:vAlign w:val="bottom"/>
          </w:tcPr>
          <w:p>
            <w:pPr>
              <w:spacing w:after="0"/>
              <w:rPr>
                <w:sz w:val="20"/>
                <w:szCs w:val="20"/>
                <w:color w:val="auto"/>
              </w:rPr>
            </w:pPr>
            <w:r>
              <w:rPr>
                <w:rFonts w:ascii="Arial" w:cs="Arial" w:eastAsia="Arial" w:hAnsi="Arial"/>
                <w:sz w:val="18"/>
                <w:szCs w:val="18"/>
                <w:color w:val="auto"/>
              </w:rPr>
              <w:t>Large Accelerated Filer _____</w:t>
            </w:r>
          </w:p>
        </w:tc>
        <w:tc>
          <w:tcPr>
            <w:tcW w:w="3300" w:type="dxa"/>
            <w:vAlign w:val="bottom"/>
            <w:gridSpan w:val="3"/>
          </w:tcPr>
          <w:p>
            <w:pPr>
              <w:ind w:left="200"/>
              <w:spacing w:after="0"/>
              <w:rPr>
                <w:sz w:val="20"/>
                <w:szCs w:val="20"/>
                <w:color w:val="auto"/>
              </w:rPr>
            </w:pPr>
            <w:r>
              <w:rPr>
                <w:rFonts w:ascii="Arial" w:cs="Arial" w:eastAsia="Arial" w:hAnsi="Arial"/>
                <w:sz w:val="18"/>
                <w:szCs w:val="18"/>
                <w:color w:val="auto"/>
              </w:rPr>
              <w:t>Accelerated Filer   X</w:t>
            </w:r>
          </w:p>
        </w:tc>
        <w:tc>
          <w:tcPr>
            <w:tcW w:w="3100" w:type="dxa"/>
            <w:vAlign w:val="bottom"/>
          </w:tcPr>
          <w:p>
            <w:pPr>
              <w:spacing w:after="0"/>
              <w:rPr>
                <w:sz w:val="18"/>
                <w:szCs w:val="18"/>
                <w:color w:val="auto"/>
              </w:rPr>
            </w:pPr>
          </w:p>
        </w:tc>
      </w:tr>
      <w:tr>
        <w:trPr>
          <w:trHeight w:val="20"/>
        </w:trPr>
        <w:tc>
          <w:tcPr>
            <w:tcW w:w="34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505"/>
        </w:trPr>
        <w:tc>
          <w:tcPr>
            <w:tcW w:w="3460" w:type="dxa"/>
            <w:vAlign w:val="bottom"/>
          </w:tcPr>
          <w:p>
            <w:pPr>
              <w:spacing w:after="0"/>
              <w:rPr>
                <w:sz w:val="20"/>
                <w:szCs w:val="20"/>
                <w:color w:val="auto"/>
              </w:rPr>
            </w:pPr>
            <w:r>
              <w:rPr>
                <w:rFonts w:ascii="Arial" w:cs="Arial" w:eastAsia="Arial" w:hAnsi="Arial"/>
                <w:sz w:val="18"/>
                <w:szCs w:val="18"/>
                <w:color w:val="auto"/>
              </w:rPr>
              <w:t>Non-Accelerated Filer _____</w:t>
            </w:r>
          </w:p>
        </w:tc>
        <w:tc>
          <w:tcPr>
            <w:tcW w:w="3300" w:type="dxa"/>
            <w:vAlign w:val="bottom"/>
            <w:gridSpan w:val="3"/>
          </w:tcPr>
          <w:p>
            <w:pPr>
              <w:ind w:left="200"/>
              <w:spacing w:after="0"/>
              <w:rPr>
                <w:sz w:val="20"/>
                <w:szCs w:val="20"/>
                <w:color w:val="auto"/>
              </w:rPr>
            </w:pPr>
            <w:r>
              <w:rPr>
                <w:rFonts w:ascii="Arial" w:cs="Arial" w:eastAsia="Arial" w:hAnsi="Arial"/>
                <w:sz w:val="18"/>
                <w:szCs w:val="18"/>
                <w:color w:val="auto"/>
              </w:rPr>
              <w:t>Smaller Reporting Company _____</w:t>
            </w:r>
          </w:p>
        </w:tc>
        <w:tc>
          <w:tcPr>
            <w:tcW w:w="3100" w:type="dxa"/>
            <w:vAlign w:val="bottom"/>
          </w:tcPr>
          <w:p>
            <w:pPr>
              <w:ind w:left="620"/>
              <w:spacing w:after="0"/>
              <w:rPr>
                <w:sz w:val="20"/>
                <w:szCs w:val="20"/>
                <w:color w:val="auto"/>
              </w:rPr>
            </w:pPr>
            <w:r>
              <w:rPr>
                <w:rFonts w:ascii="Arial" w:cs="Arial" w:eastAsia="Arial" w:hAnsi="Arial"/>
                <w:sz w:val="18"/>
                <w:szCs w:val="18"/>
                <w:color w:val="auto"/>
                <w:w w:val="88"/>
              </w:rPr>
              <w:t>Emerging Growth Company _____</w:t>
            </w:r>
          </w:p>
        </w:tc>
      </w:tr>
      <w:tr>
        <w:trPr>
          <w:trHeight w:val="243"/>
        </w:trPr>
        <w:tc>
          <w:tcPr>
            <w:tcW w:w="3460" w:type="dxa"/>
            <w:vAlign w:val="bottom"/>
          </w:tcPr>
          <w:p>
            <w:pPr>
              <w:spacing w:after="0"/>
              <w:rPr>
                <w:sz w:val="20"/>
                <w:szCs w:val="20"/>
                <w:color w:val="auto"/>
              </w:rPr>
            </w:pPr>
            <w:r>
              <w:rPr>
                <w:rFonts w:ascii="Arial" w:cs="Arial" w:eastAsia="Arial" w:hAnsi="Arial"/>
                <w:sz w:val="18"/>
                <w:szCs w:val="18"/>
                <w:color w:val="auto"/>
                <w:w w:val="94"/>
              </w:rPr>
              <w:t>(Do not check if a smaller reporting company)</w:t>
            </w:r>
          </w:p>
        </w:tc>
        <w:tc>
          <w:tcPr>
            <w:tcW w:w="14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100" w:type="dxa"/>
            <w:vAlign w:val="bottom"/>
          </w:tcPr>
          <w:p>
            <w:pPr>
              <w:spacing w:after="0"/>
              <w:rPr>
                <w:sz w:val="21"/>
                <w:szCs w:val="21"/>
                <w:color w:val="auto"/>
              </w:rPr>
            </w:pPr>
          </w:p>
        </w:tc>
      </w:tr>
    </w:tbl>
    <w:p>
      <w:pPr>
        <w:spacing w:after="0" w:line="223" w:lineRule="exact"/>
        <w:rPr>
          <w:sz w:val="24"/>
          <w:szCs w:val="24"/>
          <w:color w:val="auto"/>
        </w:rPr>
      </w:pPr>
    </w:p>
    <w:p>
      <w:pPr>
        <w:ind w:firstLine="270"/>
        <w:spacing w:after="0" w:line="268"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_____</w:t>
      </w:r>
    </w:p>
    <w:p>
      <w:pPr>
        <w:spacing w:after="0" w:line="186" w:lineRule="exact"/>
        <w:rPr>
          <w:sz w:val="24"/>
          <w:szCs w:val="24"/>
          <w:color w:val="auto"/>
        </w:rPr>
      </w:pPr>
    </w:p>
    <w:p>
      <w:pPr>
        <w:ind w:left="28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5" w:lineRule="exact"/>
        <w:rPr>
          <w:sz w:val="24"/>
          <w:szCs w:val="24"/>
          <w:color w:val="auto"/>
        </w:rPr>
      </w:pPr>
    </w:p>
    <w:p>
      <w:pPr>
        <w:ind w:left="4480"/>
        <w:spacing w:after="0"/>
        <w:tabs>
          <w:tab w:leader="none" w:pos="4980" w:val="left"/>
          <w:tab w:leader="none" w:pos="5940" w:val="left"/>
          <w:tab w:leader="none" w:pos="664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_____</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4113530</wp:posOffset>
            </wp:positionH>
            <wp:positionV relativeFrom="paragraph">
              <wp:posOffset>-17780</wp:posOffset>
            </wp:positionV>
            <wp:extent cx="3035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3530" cy="8890"/>
                    </a:xfrm>
                    <a:prstGeom prst="rect">
                      <a:avLst/>
                    </a:prstGeom>
                    <a:noFill/>
                  </pic:spPr>
                </pic:pic>
              </a:graphicData>
            </a:graphic>
          </wp:anchor>
        </w:drawing>
      </w:r>
    </w:p>
    <w:p>
      <w:pPr>
        <w:spacing w:after="0" w:line="199" w:lineRule="exact"/>
        <w:rPr>
          <w:sz w:val="24"/>
          <w:szCs w:val="24"/>
          <w:color w:val="auto"/>
        </w:rPr>
      </w:pPr>
    </w:p>
    <w:p>
      <w:pPr>
        <w:ind w:firstLine="270"/>
        <w:spacing w:after="0" w:line="268" w:lineRule="auto"/>
        <w:rPr>
          <w:sz w:val="20"/>
          <w:szCs w:val="20"/>
          <w:color w:val="auto"/>
        </w:rPr>
      </w:pPr>
      <w:r>
        <w:rPr>
          <w:rFonts w:ascii="Arial" w:cs="Arial" w:eastAsia="Arial" w:hAnsi="Arial"/>
          <w:sz w:val="18"/>
          <w:szCs w:val="18"/>
          <w:color w:val="auto"/>
        </w:rPr>
        <w:t>The number of shares outstanding of the registrant's only class of common stock as of July 28, 2017: Common stock, par value $.50 per share –11,203,801 shares outstanding.</w:t>
      </w:r>
    </w:p>
    <w:p>
      <w:pPr>
        <w:spacing w:after="0" w:line="18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239"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2914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auto"/>
              </w:rPr>
              <w:t>Item 1.</w:t>
            </w:r>
          </w:p>
        </w:tc>
        <w:tc>
          <w:tcPr>
            <w:tcW w:w="10060" w:type="dxa"/>
            <w:vAlign w:val="bottom"/>
            <w:vMerge w:val="restart"/>
          </w:tcPr>
          <w:p>
            <w:pPr>
              <w:ind w:left="120"/>
              <w:spacing w:after="0"/>
              <w:rPr>
                <w:sz w:val="20"/>
                <w:szCs w:val="20"/>
                <w:color w:val="auto"/>
              </w:rPr>
            </w:pPr>
            <w:r>
              <w:rPr>
                <w:rFonts w:ascii="Arial" w:cs="Arial" w:eastAsia="Arial" w:hAnsi="Arial"/>
                <w:sz w:val="18"/>
                <w:szCs w:val="18"/>
                <w:color w:val="auto"/>
              </w:rPr>
              <w:t>FINANCIAL STATEMENTS</w:t>
            </w:r>
          </w:p>
        </w:tc>
        <w:tc>
          <w:tcPr>
            <w:tcW w:w="440" w:type="dxa"/>
            <w:vAlign w:val="bottom"/>
            <w:shd w:val="clear" w:color="auto" w:fill="C0C0C0"/>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006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 w:type="dxa"/>
            <w:vAlign w:val="bottom"/>
            <w:shd w:val="clear" w:color="auto" w:fill="C0C0C0"/>
          </w:tcPr>
          <w:p>
            <w:pPr>
              <w:spacing w:after="0"/>
              <w:rPr>
                <w:sz w:val="18"/>
                <w:szCs w:val="18"/>
                <w:color w:val="auto"/>
              </w:rPr>
            </w:pPr>
          </w:p>
        </w:tc>
        <w:tc>
          <w:tcPr>
            <w:tcW w:w="640" w:type="dxa"/>
            <w:vAlign w:val="bottom"/>
            <w:shd w:val="clear" w:color="auto" w:fill="C0C0C0"/>
          </w:tcPr>
          <w:p>
            <w:pPr>
              <w:spacing w:after="0"/>
              <w:rPr>
                <w:sz w:val="18"/>
                <w:szCs w:val="18"/>
                <w:color w:val="auto"/>
              </w:rPr>
            </w:pPr>
          </w:p>
        </w:tc>
        <w:tc>
          <w:tcPr>
            <w:tcW w:w="10060" w:type="dxa"/>
            <w:vAlign w:val="bottom"/>
            <w:shd w:val="clear" w:color="auto" w:fill="C0C0C0"/>
          </w:tcPr>
          <w:p>
            <w:pPr>
              <w:ind w:left="120"/>
              <w:spacing w:after="0"/>
              <w:rPr>
                <w:sz w:val="20"/>
                <w:szCs w:val="20"/>
                <w:color w:val="auto"/>
              </w:rPr>
            </w:pPr>
            <w:r>
              <w:rPr>
                <w:rFonts w:ascii="Arial" w:cs="Arial" w:eastAsia="Arial" w:hAnsi="Arial"/>
                <w:sz w:val="18"/>
                <w:szCs w:val="18"/>
                <w:color w:val="auto"/>
              </w:rPr>
              <w:t>Consolidated Balance Sheets</w:t>
            </w:r>
          </w:p>
        </w:tc>
        <w:tc>
          <w:tcPr>
            <w:tcW w:w="440" w:type="dxa"/>
            <w:vAlign w:val="bottom"/>
            <w:shd w:val="clear" w:color="auto" w:fill="C0C0C0"/>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640" w:type="dxa"/>
            <w:vAlign w:val="bottom"/>
            <w:shd w:val="clear" w:color="auto" w:fill="C0C0C0"/>
          </w:tcPr>
          <w:p>
            <w:pPr>
              <w:spacing w:after="0"/>
              <w:rPr>
                <w:sz w:val="19"/>
                <w:szCs w:val="19"/>
                <w:color w:val="auto"/>
              </w:rPr>
            </w:pPr>
          </w:p>
        </w:tc>
        <w:tc>
          <w:tcPr>
            <w:tcW w:w="10060" w:type="dxa"/>
            <w:vAlign w:val="bottom"/>
            <w:shd w:val="clear" w:color="auto" w:fill="C0C0C0"/>
          </w:tcPr>
          <w:p>
            <w:pPr>
              <w:ind w:left="400"/>
              <w:spacing w:after="0"/>
              <w:rPr>
                <w:sz w:val="20"/>
                <w:szCs w:val="20"/>
                <w:color w:val="auto"/>
              </w:rPr>
            </w:pPr>
            <w:r>
              <w:rPr>
                <w:rFonts w:ascii="Arial" w:cs="Arial" w:eastAsia="Arial" w:hAnsi="Arial"/>
                <w:sz w:val="18"/>
                <w:szCs w:val="18"/>
                <w:color w:val="auto"/>
              </w:rPr>
              <w:t>June 30, 2017 (unaudited) and December 31, 2016</w:t>
            </w:r>
          </w:p>
        </w:tc>
        <w:tc>
          <w:tcPr>
            <w:tcW w:w="4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c>
          <w:tcPr>
            <w:tcW w:w="10060" w:type="dxa"/>
            <w:vAlign w:val="bottom"/>
            <w:shd w:val="clear" w:color="auto" w:fill="C0C0C0"/>
          </w:tcPr>
          <w:p>
            <w:pPr>
              <w:spacing w:after="0"/>
              <w:rPr>
                <w:sz w:val="21"/>
                <w:szCs w:val="21"/>
                <w:color w:val="auto"/>
              </w:rPr>
            </w:pPr>
          </w:p>
        </w:tc>
        <w:tc>
          <w:tcPr>
            <w:tcW w:w="44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60" w:type="dxa"/>
            <w:vAlign w:val="bottom"/>
          </w:tcPr>
          <w:p>
            <w:pPr>
              <w:ind w:left="120"/>
              <w:spacing w:after="0"/>
              <w:rPr>
                <w:sz w:val="20"/>
                <w:szCs w:val="20"/>
                <w:color w:val="auto"/>
              </w:rPr>
            </w:pPr>
            <w:r>
              <w:rPr>
                <w:rFonts w:ascii="Arial" w:cs="Arial" w:eastAsia="Arial" w:hAnsi="Arial"/>
                <w:sz w:val="18"/>
                <w:szCs w:val="18"/>
                <w:color w:val="auto"/>
              </w:rPr>
              <w:t>Consolidated Statements of Income</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60" w:type="dxa"/>
            <w:vAlign w:val="bottom"/>
          </w:tcPr>
          <w:p>
            <w:pPr>
              <w:ind w:left="400"/>
              <w:spacing w:after="0"/>
              <w:rPr>
                <w:sz w:val="20"/>
                <w:szCs w:val="20"/>
                <w:color w:val="auto"/>
              </w:rPr>
            </w:pPr>
            <w:r>
              <w:rPr>
                <w:rFonts w:ascii="Arial" w:cs="Arial" w:eastAsia="Arial" w:hAnsi="Arial"/>
                <w:sz w:val="18"/>
                <w:szCs w:val="18"/>
                <w:color w:val="auto"/>
              </w:rPr>
              <w:t>Three and six months ended June 30, 2017 and 2016 (unaudited)</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 w:type="dxa"/>
            <w:vAlign w:val="bottom"/>
            <w:shd w:val="clear" w:color="auto" w:fill="C0C0C0"/>
          </w:tcPr>
          <w:p>
            <w:pPr>
              <w:spacing w:after="0"/>
              <w:rPr>
                <w:sz w:val="18"/>
                <w:szCs w:val="18"/>
                <w:color w:val="auto"/>
              </w:rPr>
            </w:pPr>
          </w:p>
        </w:tc>
        <w:tc>
          <w:tcPr>
            <w:tcW w:w="640" w:type="dxa"/>
            <w:vAlign w:val="bottom"/>
            <w:shd w:val="clear" w:color="auto" w:fill="C0C0C0"/>
          </w:tcPr>
          <w:p>
            <w:pPr>
              <w:spacing w:after="0"/>
              <w:rPr>
                <w:sz w:val="18"/>
                <w:szCs w:val="18"/>
                <w:color w:val="auto"/>
              </w:rPr>
            </w:pPr>
          </w:p>
        </w:tc>
        <w:tc>
          <w:tcPr>
            <w:tcW w:w="10060" w:type="dxa"/>
            <w:vAlign w:val="bottom"/>
            <w:shd w:val="clear" w:color="auto" w:fill="C0C0C0"/>
          </w:tcPr>
          <w:p>
            <w:pPr>
              <w:ind w:left="120"/>
              <w:spacing w:after="0"/>
              <w:rPr>
                <w:sz w:val="20"/>
                <w:szCs w:val="20"/>
                <w:color w:val="auto"/>
              </w:rPr>
            </w:pPr>
            <w:r>
              <w:rPr>
                <w:rFonts w:ascii="Arial" w:cs="Arial" w:eastAsia="Arial" w:hAnsi="Arial"/>
                <w:sz w:val="18"/>
                <w:szCs w:val="18"/>
                <w:color w:val="auto"/>
              </w:rPr>
              <w:t>Consolidated Statements of Comprehensive Income</w:t>
            </w:r>
          </w:p>
        </w:tc>
        <w:tc>
          <w:tcPr>
            <w:tcW w:w="440" w:type="dxa"/>
            <w:vAlign w:val="bottom"/>
            <w:shd w:val="clear" w:color="auto" w:fill="C0C0C0"/>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640" w:type="dxa"/>
            <w:vAlign w:val="bottom"/>
            <w:shd w:val="clear" w:color="auto" w:fill="C0C0C0"/>
          </w:tcPr>
          <w:p>
            <w:pPr>
              <w:spacing w:after="0"/>
              <w:rPr>
                <w:sz w:val="19"/>
                <w:szCs w:val="19"/>
                <w:color w:val="auto"/>
              </w:rPr>
            </w:pPr>
          </w:p>
        </w:tc>
        <w:tc>
          <w:tcPr>
            <w:tcW w:w="10060" w:type="dxa"/>
            <w:vAlign w:val="bottom"/>
            <w:shd w:val="clear" w:color="auto" w:fill="C0C0C0"/>
          </w:tcPr>
          <w:p>
            <w:pPr>
              <w:ind w:left="400"/>
              <w:spacing w:after="0"/>
              <w:rPr>
                <w:sz w:val="20"/>
                <w:szCs w:val="20"/>
                <w:color w:val="auto"/>
              </w:rPr>
            </w:pPr>
            <w:r>
              <w:rPr>
                <w:rFonts w:ascii="Arial" w:cs="Arial" w:eastAsia="Arial" w:hAnsi="Arial"/>
                <w:sz w:val="18"/>
                <w:szCs w:val="18"/>
                <w:color w:val="auto"/>
              </w:rPr>
              <w:t>Three and six months ended June 30, 2017 and 2016 (unaudited)</w:t>
            </w:r>
          </w:p>
        </w:tc>
        <w:tc>
          <w:tcPr>
            <w:tcW w:w="4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c>
          <w:tcPr>
            <w:tcW w:w="10060" w:type="dxa"/>
            <w:vAlign w:val="bottom"/>
            <w:shd w:val="clear" w:color="auto" w:fill="C0C0C0"/>
          </w:tcPr>
          <w:p>
            <w:pPr>
              <w:spacing w:after="0"/>
              <w:rPr>
                <w:sz w:val="21"/>
                <w:szCs w:val="21"/>
                <w:color w:val="auto"/>
              </w:rPr>
            </w:pPr>
          </w:p>
        </w:tc>
        <w:tc>
          <w:tcPr>
            <w:tcW w:w="44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60" w:type="dxa"/>
            <w:vAlign w:val="bottom"/>
          </w:tcPr>
          <w:p>
            <w:pPr>
              <w:ind w:left="120"/>
              <w:spacing w:after="0"/>
              <w:rPr>
                <w:sz w:val="20"/>
                <w:szCs w:val="20"/>
                <w:color w:val="auto"/>
              </w:rPr>
            </w:pPr>
            <w:r>
              <w:rPr>
                <w:rFonts w:ascii="Arial" w:cs="Arial" w:eastAsia="Arial" w:hAnsi="Arial"/>
                <w:sz w:val="18"/>
                <w:szCs w:val="18"/>
                <w:color w:val="auto"/>
              </w:rPr>
              <w:t>Consolidated Statements of Cash Flows</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60" w:type="dxa"/>
            <w:vAlign w:val="bottom"/>
          </w:tcPr>
          <w:p>
            <w:pPr>
              <w:ind w:left="400"/>
              <w:spacing w:after="0"/>
              <w:rPr>
                <w:sz w:val="20"/>
                <w:szCs w:val="20"/>
                <w:color w:val="auto"/>
              </w:rPr>
            </w:pPr>
            <w:r>
              <w:rPr>
                <w:rFonts w:ascii="Arial" w:cs="Arial" w:eastAsia="Arial" w:hAnsi="Arial"/>
                <w:sz w:val="18"/>
                <w:szCs w:val="18"/>
                <w:color w:val="auto"/>
              </w:rPr>
              <w:t>Six months ended June 30, 2017 and 2016 (unaudited)</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0C0C0"/>
          </w:tcPr>
          <w:p>
            <w:pPr>
              <w:spacing w:after="0"/>
              <w:rPr>
                <w:sz w:val="18"/>
                <w:szCs w:val="18"/>
                <w:color w:val="auto"/>
              </w:rPr>
            </w:pPr>
          </w:p>
        </w:tc>
        <w:tc>
          <w:tcPr>
            <w:tcW w:w="640" w:type="dxa"/>
            <w:vAlign w:val="bottom"/>
            <w:shd w:val="clear" w:color="auto" w:fill="C0C0C0"/>
          </w:tcPr>
          <w:p>
            <w:pPr>
              <w:spacing w:after="0"/>
              <w:rPr>
                <w:sz w:val="18"/>
                <w:szCs w:val="18"/>
                <w:color w:val="auto"/>
              </w:rPr>
            </w:pPr>
          </w:p>
        </w:tc>
        <w:tc>
          <w:tcPr>
            <w:tcW w:w="10060" w:type="dxa"/>
            <w:vAlign w:val="bottom"/>
            <w:shd w:val="clear" w:color="auto" w:fill="C0C0C0"/>
          </w:tcPr>
          <w:p>
            <w:pPr>
              <w:ind w:left="120"/>
              <w:spacing w:after="0"/>
              <w:rPr>
                <w:sz w:val="20"/>
                <w:szCs w:val="20"/>
                <w:color w:val="auto"/>
              </w:rPr>
            </w:pPr>
            <w:r>
              <w:rPr>
                <w:rFonts w:ascii="Arial" w:cs="Arial" w:eastAsia="Arial" w:hAnsi="Arial"/>
                <w:sz w:val="18"/>
                <w:szCs w:val="18"/>
                <w:color w:val="auto"/>
              </w:rPr>
              <w:t>Notes to Consolidated Financial Statements (unaudited)</w:t>
            </w:r>
          </w:p>
        </w:tc>
        <w:tc>
          <w:tcPr>
            <w:tcW w:w="4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c>
          <w:tcPr>
            <w:tcW w:w="10060" w:type="dxa"/>
            <w:vAlign w:val="bottom"/>
            <w:shd w:val="clear" w:color="auto" w:fill="C0C0C0"/>
          </w:tcPr>
          <w:p>
            <w:pPr>
              <w:spacing w:after="0"/>
              <w:rPr>
                <w:sz w:val="21"/>
                <w:szCs w:val="21"/>
                <w:color w:val="auto"/>
              </w:rPr>
            </w:pPr>
          </w:p>
        </w:tc>
        <w:tc>
          <w:tcPr>
            <w:tcW w:w="440" w:type="dxa"/>
            <w:vAlign w:val="bottom"/>
            <w:shd w:val="clear" w:color="auto" w:fill="C0C0C0"/>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Item 2.</w:t>
            </w:r>
          </w:p>
        </w:tc>
        <w:tc>
          <w:tcPr>
            <w:tcW w:w="10060" w:type="dxa"/>
            <w:vAlign w:val="bottom"/>
          </w:tcPr>
          <w:p>
            <w:pPr>
              <w:ind w:left="12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44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0C0C0"/>
          </w:tcPr>
          <w:p>
            <w:pPr>
              <w:spacing w:after="0"/>
              <w:rPr>
                <w:sz w:val="18"/>
                <w:szCs w:val="18"/>
                <w:color w:val="auto"/>
              </w:rPr>
            </w:pPr>
          </w:p>
        </w:tc>
        <w:tc>
          <w:tcPr>
            <w:tcW w:w="640" w:type="dxa"/>
            <w:vAlign w:val="bottom"/>
            <w:shd w:val="clear" w:color="auto" w:fill="C0C0C0"/>
          </w:tcPr>
          <w:p>
            <w:pPr>
              <w:spacing w:after="0"/>
              <w:rPr>
                <w:sz w:val="20"/>
                <w:szCs w:val="20"/>
                <w:color w:val="auto"/>
              </w:rPr>
            </w:pPr>
            <w:r>
              <w:rPr>
                <w:rFonts w:ascii="Arial" w:cs="Arial" w:eastAsia="Arial" w:hAnsi="Arial"/>
                <w:sz w:val="18"/>
                <w:szCs w:val="18"/>
                <w:color w:val="auto"/>
              </w:rPr>
              <w:t>Item 3.</w:t>
            </w:r>
          </w:p>
        </w:tc>
        <w:tc>
          <w:tcPr>
            <w:tcW w:w="10060" w:type="dxa"/>
            <w:vAlign w:val="bottom"/>
            <w:shd w:val="clear" w:color="auto" w:fill="C0C0C0"/>
          </w:tcPr>
          <w:p>
            <w:pPr>
              <w:ind w:left="120"/>
              <w:spacing w:after="0"/>
              <w:rPr>
                <w:sz w:val="20"/>
                <w:szCs w:val="20"/>
                <w:color w:val="auto"/>
              </w:rPr>
            </w:pPr>
            <w:r>
              <w:rPr>
                <w:rFonts w:ascii="Arial" w:cs="Arial" w:eastAsia="Arial" w:hAnsi="Arial"/>
                <w:sz w:val="18"/>
                <w:szCs w:val="18"/>
                <w:color w:val="auto"/>
              </w:rPr>
              <w:t>QUANTITATIVE AND QUALITATIVE DISCLOSURES ABOUT MARKET RISK</w:t>
            </w:r>
          </w:p>
        </w:tc>
        <w:tc>
          <w:tcPr>
            <w:tcW w:w="4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c>
          <w:tcPr>
            <w:tcW w:w="10060" w:type="dxa"/>
            <w:vAlign w:val="bottom"/>
            <w:shd w:val="clear" w:color="auto" w:fill="C0C0C0"/>
          </w:tcPr>
          <w:p>
            <w:pPr>
              <w:spacing w:after="0"/>
              <w:rPr>
                <w:sz w:val="21"/>
                <w:szCs w:val="21"/>
                <w:color w:val="auto"/>
              </w:rPr>
            </w:pPr>
          </w:p>
        </w:tc>
        <w:tc>
          <w:tcPr>
            <w:tcW w:w="440" w:type="dxa"/>
            <w:vAlign w:val="bottom"/>
            <w:shd w:val="clear" w:color="auto" w:fill="C0C0C0"/>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Item 4.</w:t>
            </w:r>
          </w:p>
        </w:tc>
        <w:tc>
          <w:tcPr>
            <w:tcW w:w="10060" w:type="dxa"/>
            <w:vAlign w:val="bottom"/>
          </w:tcPr>
          <w:p>
            <w:pPr>
              <w:ind w:left="120"/>
              <w:spacing w:after="0"/>
              <w:rPr>
                <w:sz w:val="20"/>
                <w:szCs w:val="20"/>
                <w:color w:val="auto"/>
              </w:rPr>
            </w:pPr>
            <w:r>
              <w:rPr>
                <w:rFonts w:ascii="Arial" w:cs="Arial" w:eastAsia="Arial" w:hAnsi="Arial"/>
                <w:sz w:val="18"/>
                <w:szCs w:val="18"/>
                <w:color w:val="auto"/>
              </w:rPr>
              <w:t>CONTROLS AND PROCEDURES</w:t>
            </w:r>
          </w:p>
        </w:tc>
        <w:tc>
          <w:tcPr>
            <w:tcW w:w="44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0960" w:type="dxa"/>
            <w:vAlign w:val="bottom"/>
            <w:gridSpan w:val="3"/>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960" w:type="dxa"/>
            <w:vAlign w:val="bottom"/>
            <w:gridSpan w:val="3"/>
            <w:shd w:val="clear" w:color="auto" w:fill="C0C0C0"/>
          </w:tcPr>
          <w:p>
            <w:pPr>
              <w:spacing w:after="0"/>
              <w:rPr>
                <w:sz w:val="20"/>
                <w:szCs w:val="20"/>
                <w:color w:val="auto"/>
              </w:rPr>
            </w:pPr>
            <w:r>
              <w:rPr>
                <w:rFonts w:ascii="Arial" w:cs="Arial" w:eastAsia="Arial" w:hAnsi="Arial"/>
                <w:sz w:val="18"/>
                <w:szCs w:val="18"/>
                <w:b w:val="1"/>
                <w:bCs w:val="1"/>
                <w:color w:val="auto"/>
              </w:rPr>
              <w:t xml:space="preserve">PART II – Other Information </w:t>
            </w:r>
            <w:r>
              <w:rPr>
                <w:rFonts w:ascii="Arial" w:cs="Arial" w:eastAsia="Arial" w:hAnsi="Arial"/>
                <w:sz w:val="18"/>
                <w:szCs w:val="18"/>
                <w:color w:val="auto"/>
              </w:rPr>
              <w:t>– Items 1. – 6.</w:t>
            </w:r>
          </w:p>
        </w:tc>
        <w:tc>
          <w:tcPr>
            <w:tcW w:w="4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0700" w:type="dxa"/>
            <w:vAlign w:val="bottom"/>
            <w:gridSpan w:val="2"/>
            <w:shd w:val="clear" w:color="auto" w:fill="C0C0C0"/>
          </w:tcPr>
          <w:p>
            <w:pPr>
              <w:spacing w:after="0"/>
              <w:rPr>
                <w:sz w:val="21"/>
                <w:szCs w:val="21"/>
                <w:color w:val="auto"/>
              </w:rPr>
            </w:pPr>
          </w:p>
        </w:tc>
        <w:tc>
          <w:tcPr>
            <w:tcW w:w="440" w:type="dxa"/>
            <w:vAlign w:val="bottom"/>
            <w:shd w:val="clear" w:color="auto" w:fill="C0C0C0"/>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700" w:type="dxa"/>
            <w:vAlign w:val="bottom"/>
            <w:gridSpan w:val="2"/>
          </w:tcPr>
          <w:p>
            <w:pPr>
              <w:spacing w:after="0"/>
              <w:rPr>
                <w:sz w:val="20"/>
                <w:szCs w:val="20"/>
                <w:color w:val="auto"/>
              </w:rPr>
            </w:pPr>
            <w:r>
              <w:rPr>
                <w:rFonts w:ascii="Arial" w:cs="Arial" w:eastAsia="Arial" w:hAnsi="Arial"/>
                <w:sz w:val="18"/>
                <w:szCs w:val="18"/>
                <w:color w:val="auto"/>
              </w:rPr>
              <w:t>SIGNATURES</w:t>
            </w:r>
          </w:p>
        </w:tc>
        <w:tc>
          <w:tcPr>
            <w:tcW w:w="44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10980" w:type="dxa"/>
            <w:vAlign w:val="bottom"/>
            <w:gridSpan w:val="4"/>
          </w:tcPr>
          <w:p>
            <w:pPr>
              <w:spacing w:after="0"/>
              <w:rPr>
                <w:sz w:val="20"/>
                <w:szCs w:val="20"/>
                <w:color w:val="auto"/>
              </w:rPr>
            </w:pPr>
            <w:r>
              <w:rPr>
                <w:rFonts w:ascii="Arial" w:cs="Arial" w:eastAsia="Arial" w:hAnsi="Arial"/>
                <w:sz w:val="18"/>
                <w:szCs w:val="18"/>
                <w:b w:val="1"/>
                <w:bCs w:val="1"/>
                <w:color w:val="auto"/>
              </w:rPr>
              <w:t>Forward-looking Statements - Factors That May Affect Future Results</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This report may contain or incorporate by reference forward-looking statements made pursuant to the safe harbor provisions of Section 27A of the Securities Act of 1933, as amended, and Section 21E of the Securities Exchange Act of 1934, as amended. Although we believe that, in making any such statements, our expectations are based on reasonable assumptions, forward-looking statements are not guarantees of future performance and involve risks, uncertainties, and other factors beyond our control, which may cause future performance to be materially different from expected performance summarized in the forward-looking statements. These risks, uncertainties and other factors are discussed in Part I, Item 1A, “Risk Factors” of the Company’s 2016 Annual Report on Form 10-K, filed with the Securities and Exchange Commission (“SEC”), which may be updated from time to time in our future filings with the SEC. We undertake no obligation to publicly update or revise any forward-looking statements to reflect changed assumptions, the occurrence of anticipated or unanticipated events, or changes to future results over time</w:t>
      </w:r>
      <w:r>
        <w:rPr>
          <w:rFonts w:ascii="Arial" w:cs="Arial" w:eastAsia="Arial" w:hAnsi="Arial"/>
          <w:sz w:val="12"/>
          <w:szCs w:val="12"/>
          <w:color w:val="auto"/>
        </w:rPr>
        <w: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8"/>
        </w:trPr>
        <w:tc>
          <w:tcPr>
            <w:tcW w:w="8540" w:type="dxa"/>
            <w:vAlign w:val="bottom"/>
            <w:gridSpan w:val="4"/>
          </w:tcPr>
          <w:p>
            <w:pPr>
              <w:spacing w:after="0"/>
              <w:rPr>
                <w:sz w:val="20"/>
                <w:szCs w:val="20"/>
                <w:color w:val="auto"/>
              </w:rPr>
            </w:pPr>
            <w:r>
              <w:rPr>
                <w:rFonts w:ascii="Arial" w:cs="Arial" w:eastAsia="Arial" w:hAnsi="Arial"/>
                <w:sz w:val="18"/>
                <w:szCs w:val="18"/>
                <w:b w:val="1"/>
                <w:bCs w:val="1"/>
                <w:color w:val="auto"/>
              </w:rPr>
              <w:t>PART I. FINANCIAL INFORMATION</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8540" w:type="dxa"/>
            <w:vAlign w:val="bottom"/>
            <w:gridSpan w:val="4"/>
          </w:tcPr>
          <w:p>
            <w:pPr>
              <w:spacing w:after="0"/>
              <w:rPr>
                <w:sz w:val="20"/>
                <w:szCs w:val="20"/>
                <w:color w:val="auto"/>
              </w:rPr>
            </w:pPr>
            <w:r>
              <w:rPr>
                <w:rFonts w:ascii="Arial" w:cs="Arial" w:eastAsia="Arial" w:hAnsi="Arial"/>
                <w:sz w:val="18"/>
                <w:szCs w:val="18"/>
                <w:b w:val="1"/>
                <w:bCs w:val="1"/>
                <w:color w:val="auto"/>
              </w:rPr>
              <w:t>ITEM 1. FINANCIAL STATEMENTS</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0" w:type="dxa"/>
            <w:vAlign w:val="bottom"/>
          </w:tcPr>
          <w:p>
            <w:pPr>
              <w:jc w:val="center"/>
              <w:ind w:left="1252"/>
              <w:spacing w:after="0"/>
              <w:rPr>
                <w:sz w:val="20"/>
                <w:szCs w:val="20"/>
                <w:color w:val="auto"/>
              </w:rPr>
            </w:pPr>
            <w:r>
              <w:rPr>
                <w:rFonts w:ascii="Arial" w:cs="Arial" w:eastAsia="Arial" w:hAnsi="Arial"/>
                <w:sz w:val="18"/>
                <w:szCs w:val="18"/>
                <w:b w:val="1"/>
                <w:bCs w:val="1"/>
                <w:color w:val="auto"/>
                <w:w w:val="97"/>
              </w:rPr>
              <w:t>CASS INFORMATION SYSTEMS, INC. AND SUBSIDIARIES</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0" w:type="dxa"/>
            <w:vAlign w:val="bottom"/>
          </w:tcPr>
          <w:p>
            <w:pPr>
              <w:jc w:val="center"/>
              <w:ind w:left="1232"/>
              <w:spacing w:after="0"/>
              <w:rPr>
                <w:sz w:val="20"/>
                <w:szCs w:val="20"/>
                <w:color w:val="auto"/>
              </w:rPr>
            </w:pPr>
            <w:r>
              <w:rPr>
                <w:rFonts w:ascii="Arial" w:cs="Arial" w:eastAsia="Arial" w:hAnsi="Arial"/>
                <w:sz w:val="18"/>
                <w:szCs w:val="18"/>
                <w:b w:val="1"/>
                <w:bCs w:val="1"/>
                <w:color w:val="auto"/>
                <w:w w:val="96"/>
              </w:rPr>
              <w:t>CONSOLIDATED BALANCE SHEETS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0" w:type="dxa"/>
            <w:vAlign w:val="bottom"/>
          </w:tcPr>
          <w:p>
            <w:pPr>
              <w:jc w:val="center"/>
              <w:ind w:left="1272"/>
              <w:spacing w:after="0"/>
              <w:rPr>
                <w:sz w:val="20"/>
                <w:szCs w:val="20"/>
                <w:color w:val="auto"/>
              </w:rPr>
            </w:pPr>
            <w:r>
              <w:rPr>
                <w:rFonts w:ascii="Arial" w:cs="Arial" w:eastAsia="Arial" w:hAnsi="Arial"/>
                <w:sz w:val="18"/>
                <w:szCs w:val="18"/>
                <w:color w:val="auto"/>
                <w:w w:val="86"/>
              </w:rPr>
              <w:t>(Dollars in Thousands except Share and Per Share Data)</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June 30,</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84"/>
              </w:rPr>
              <w:t>2017</w:t>
            </w:r>
          </w:p>
        </w:tc>
        <w:tc>
          <w:tcPr>
            <w:tcW w:w="26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70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8"/>
                <w:szCs w:val="18"/>
                <w:b w:val="1"/>
                <w:bCs w:val="1"/>
                <w:color w:val="auto"/>
                <w:w w:val="89"/>
              </w:rPr>
              <w:t>(Unaudited)</w:t>
            </w: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520" w:type="dxa"/>
            <w:vAlign w:val="bottom"/>
            <w:gridSpan w:val="3"/>
            <w:shd w:val="clear" w:color="auto" w:fill="C0C0C0"/>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0C0C0"/>
          </w:tcPr>
          <w:p>
            <w:pPr>
              <w:spacing w:after="0"/>
              <w:rPr>
                <w:sz w:val="21"/>
                <w:szCs w:val="21"/>
                <w:color w:val="auto"/>
              </w:rPr>
            </w:pPr>
          </w:p>
        </w:tc>
        <w:tc>
          <w:tcPr>
            <w:tcW w:w="118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92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8540" w:type="dxa"/>
            <w:vAlign w:val="bottom"/>
            <w:gridSpan w:val="4"/>
          </w:tcPr>
          <w:p>
            <w:pPr>
              <w:spacing w:after="0"/>
              <w:rPr>
                <w:sz w:val="20"/>
                <w:szCs w:val="20"/>
                <w:color w:val="auto"/>
              </w:rPr>
            </w:pPr>
            <w:r>
              <w:rPr>
                <w:rFonts w:ascii="Arial" w:cs="Arial" w:eastAsia="Arial" w:hAnsi="Arial"/>
                <w:sz w:val="18"/>
                <w:szCs w:val="18"/>
                <w:color w:val="auto"/>
              </w:rPr>
              <w:t>Cash and due from banks</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14,538</w:t>
            </w:r>
          </w:p>
        </w:tc>
        <w:tc>
          <w:tcPr>
            <w:tcW w:w="260" w:type="dxa"/>
            <w:vAlign w:val="bottom"/>
          </w:tcPr>
          <w:p>
            <w:pPr>
              <w:spacing w:after="0"/>
              <w:rPr>
                <w:sz w:val="20"/>
                <w:szCs w:val="20"/>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11,814</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52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Interest-bearing deposits in other financial institutions</w:t>
            </w:r>
          </w:p>
        </w:tc>
        <w:tc>
          <w:tcPr>
            <w:tcW w:w="260" w:type="dxa"/>
            <w:vAlign w:val="bottom"/>
            <w:shd w:val="clear" w:color="auto" w:fill="C0C0C0"/>
          </w:tcPr>
          <w:p>
            <w:pPr>
              <w:spacing w:after="0"/>
              <w:rPr>
                <w:sz w:val="21"/>
                <w:szCs w:val="21"/>
                <w:color w:val="auto"/>
              </w:rPr>
            </w:pPr>
          </w:p>
        </w:tc>
        <w:tc>
          <w:tcPr>
            <w:tcW w:w="118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99,984</w:t>
            </w:r>
          </w:p>
        </w:tc>
        <w:tc>
          <w:tcPr>
            <w:tcW w:w="2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9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136,852</w:t>
            </w:r>
          </w:p>
        </w:tc>
        <w:tc>
          <w:tcPr>
            <w:tcW w:w="0" w:type="dxa"/>
            <w:vAlign w:val="bottom"/>
          </w:tcPr>
          <w:p>
            <w:pPr>
              <w:spacing w:after="0"/>
              <w:rPr>
                <w:sz w:val="1"/>
                <w:szCs w:val="1"/>
                <w:color w:val="auto"/>
              </w:rPr>
            </w:pPr>
          </w:p>
        </w:tc>
      </w:tr>
      <w:tr>
        <w:trPr>
          <w:trHeight w:val="237"/>
        </w:trPr>
        <w:tc>
          <w:tcPr>
            <w:tcW w:w="8540" w:type="dxa"/>
            <w:vAlign w:val="bottom"/>
            <w:gridSpan w:val="4"/>
          </w:tcPr>
          <w:p>
            <w:pPr>
              <w:spacing w:after="0"/>
              <w:rPr>
                <w:sz w:val="20"/>
                <w:szCs w:val="20"/>
                <w:color w:val="auto"/>
              </w:rPr>
            </w:pPr>
            <w:r>
              <w:rPr>
                <w:rFonts w:ascii="Arial" w:cs="Arial" w:eastAsia="Arial" w:hAnsi="Arial"/>
                <w:sz w:val="18"/>
                <w:szCs w:val="18"/>
                <w:color w:val="auto"/>
              </w:rPr>
              <w:t>Federal funds sold and other short-term investments</w:t>
            </w:r>
          </w:p>
        </w:tc>
        <w:tc>
          <w:tcPr>
            <w:tcW w:w="260" w:type="dxa"/>
            <w:vAlign w:val="bottom"/>
          </w:tcPr>
          <w:p>
            <w:pPr>
              <w:spacing w:after="0"/>
              <w:rPr>
                <w:sz w:val="20"/>
                <w:szCs w:val="20"/>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186,538</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118,077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520" w:type="dxa"/>
            <w:vAlign w:val="bottom"/>
            <w:tcBorders>
              <w:top w:val="single" w:sz="8" w:color="C0C0C0"/>
            </w:tcBorders>
            <w:gridSpan w:val="3"/>
            <w:shd w:val="clear" w:color="auto" w:fill="C0C0C0"/>
          </w:tcPr>
          <w:p>
            <w:pPr>
              <w:ind w:left="52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top w:val="single" w:sz="8" w:color="auto"/>
              <w:bottom w:val="single" w:sz="8" w:color="auto"/>
            </w:tcBorders>
            <w:shd w:val="clear" w:color="auto" w:fill="C0C0C0"/>
          </w:tcPr>
          <w:p>
            <w:pPr>
              <w:spacing w:after="0"/>
              <w:rPr>
                <w:sz w:val="21"/>
                <w:szCs w:val="21"/>
                <w:color w:val="auto"/>
              </w:rPr>
            </w:pPr>
          </w:p>
        </w:tc>
        <w:tc>
          <w:tcPr>
            <w:tcW w:w="1180" w:type="dxa"/>
            <w:vAlign w:val="bottom"/>
            <w:tcBorders>
              <w:top w:val="single" w:sz="8" w:color="auto"/>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301,060</w:t>
            </w:r>
          </w:p>
        </w:tc>
        <w:tc>
          <w:tcPr>
            <w:tcW w:w="260" w:type="dxa"/>
            <w:vAlign w:val="bottom"/>
            <w:tcBorders>
              <w:top w:val="single" w:sz="8" w:color="C0C0C0"/>
            </w:tcBorders>
            <w:shd w:val="clear" w:color="auto" w:fill="C0C0C0"/>
          </w:tcPr>
          <w:p>
            <w:pPr>
              <w:spacing w:after="0"/>
              <w:rPr>
                <w:sz w:val="21"/>
                <w:szCs w:val="21"/>
                <w:color w:val="auto"/>
              </w:rPr>
            </w:pPr>
          </w:p>
        </w:tc>
        <w:tc>
          <w:tcPr>
            <w:tcW w:w="260" w:type="dxa"/>
            <w:vAlign w:val="bottom"/>
            <w:tcBorders>
              <w:top w:val="single" w:sz="8" w:color="auto"/>
              <w:bottom w:val="single" w:sz="8" w:color="auto"/>
            </w:tcBorders>
            <w:shd w:val="clear" w:color="auto" w:fill="C0C0C0"/>
          </w:tcPr>
          <w:p>
            <w:pPr>
              <w:spacing w:after="0"/>
              <w:rPr>
                <w:sz w:val="21"/>
                <w:szCs w:val="21"/>
                <w:color w:val="auto"/>
              </w:rPr>
            </w:pPr>
          </w:p>
        </w:tc>
        <w:tc>
          <w:tcPr>
            <w:tcW w:w="92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266,743</w:t>
            </w:r>
          </w:p>
        </w:tc>
        <w:tc>
          <w:tcPr>
            <w:tcW w:w="0" w:type="dxa"/>
            <w:vAlign w:val="bottom"/>
          </w:tcPr>
          <w:p>
            <w:pPr>
              <w:spacing w:after="0"/>
              <w:rPr>
                <w:sz w:val="1"/>
                <w:szCs w:val="1"/>
                <w:color w:val="auto"/>
              </w:rPr>
            </w:pPr>
          </w:p>
        </w:tc>
      </w:tr>
      <w:tr>
        <w:trPr>
          <w:trHeight w:val="221"/>
        </w:trPr>
        <w:tc>
          <w:tcPr>
            <w:tcW w:w="8540" w:type="dxa"/>
            <w:vAlign w:val="bottom"/>
            <w:gridSpan w:val="4"/>
          </w:tcPr>
          <w:p>
            <w:pPr>
              <w:spacing w:after="0"/>
              <w:rPr>
                <w:sz w:val="20"/>
                <w:szCs w:val="20"/>
                <w:color w:val="auto"/>
              </w:rPr>
            </w:pPr>
            <w:r>
              <w:rPr>
                <w:rFonts w:ascii="Arial" w:cs="Arial" w:eastAsia="Arial" w:hAnsi="Arial"/>
                <w:sz w:val="18"/>
                <w:szCs w:val="18"/>
                <w:color w:val="auto"/>
              </w:rPr>
              <w:t>Securities available-for-sale, at fair value</w:t>
            </w:r>
          </w:p>
        </w:tc>
        <w:tc>
          <w:tcPr>
            <w:tcW w:w="26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431,979</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390,552</w:t>
            </w:r>
          </w:p>
        </w:tc>
        <w:tc>
          <w:tcPr>
            <w:tcW w:w="0" w:type="dxa"/>
            <w:vAlign w:val="bottom"/>
          </w:tcPr>
          <w:p>
            <w:pPr>
              <w:spacing w:after="0"/>
              <w:rPr>
                <w:sz w:val="1"/>
                <w:szCs w:val="1"/>
                <w:color w:val="auto"/>
              </w:rPr>
            </w:pPr>
          </w:p>
        </w:tc>
      </w:tr>
      <w:tr>
        <w:trPr>
          <w:trHeight w:val="259"/>
        </w:trPr>
        <w:tc>
          <w:tcPr>
            <w:tcW w:w="760" w:type="dxa"/>
            <w:vAlign w:val="bottom"/>
            <w:gridSpan w:val="2"/>
          </w:tcPr>
          <w:p>
            <w:pPr>
              <w:spacing w:after="0"/>
              <w:rPr>
                <w:sz w:val="22"/>
                <w:szCs w:val="22"/>
                <w:color w:val="auto"/>
              </w:rPr>
            </w:pPr>
          </w:p>
        </w:tc>
        <w:tc>
          <w:tcPr>
            <w:tcW w:w="780" w:type="dxa"/>
            <w:vAlign w:val="bottom"/>
          </w:tcPr>
          <w:p>
            <w:pPr>
              <w:spacing w:after="0"/>
              <w:rPr>
                <w:sz w:val="22"/>
                <w:szCs w:val="22"/>
                <w:color w:val="auto"/>
              </w:rPr>
            </w:pPr>
          </w:p>
        </w:tc>
        <w:tc>
          <w:tcPr>
            <w:tcW w:w="70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52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Loans</w:t>
            </w:r>
          </w:p>
        </w:tc>
        <w:tc>
          <w:tcPr>
            <w:tcW w:w="260" w:type="dxa"/>
            <w:vAlign w:val="bottom"/>
            <w:shd w:val="clear" w:color="auto" w:fill="C0C0C0"/>
          </w:tcPr>
          <w:p>
            <w:pPr>
              <w:spacing w:after="0"/>
              <w:rPr>
                <w:sz w:val="21"/>
                <w:szCs w:val="21"/>
                <w:color w:val="auto"/>
              </w:rPr>
            </w:pPr>
          </w:p>
        </w:tc>
        <w:tc>
          <w:tcPr>
            <w:tcW w:w="118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671,683</w:t>
            </w:r>
          </w:p>
        </w:tc>
        <w:tc>
          <w:tcPr>
            <w:tcW w:w="2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9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664,866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520" w:type="dxa"/>
            <w:vAlign w:val="bottom"/>
            <w:tcBorders>
              <w:bottom w:val="single" w:sz="8" w:color="C0C0C0"/>
            </w:tcBorders>
            <w:gridSpan w:val="3"/>
          </w:tcPr>
          <w:p>
            <w:pPr>
              <w:ind w:left="520"/>
              <w:spacing w:after="0"/>
              <w:rPr>
                <w:sz w:val="20"/>
                <w:szCs w:val="20"/>
                <w:color w:val="auto"/>
              </w:rPr>
            </w:pPr>
            <w:r>
              <w:rPr>
                <w:rFonts w:ascii="Arial" w:cs="Arial" w:eastAsia="Arial" w:hAnsi="Arial"/>
                <w:sz w:val="18"/>
                <w:szCs w:val="18"/>
                <w:color w:val="auto"/>
              </w:rPr>
              <w:t>Less: Allowance for loan losses</w:t>
            </w: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10,196</w:t>
            </w:r>
          </w:p>
        </w:tc>
        <w:tc>
          <w:tcPr>
            <w:tcW w:w="260" w:type="dxa"/>
            <w:vAlign w:val="bottom"/>
            <w:tcBorders>
              <w:bottom w:val="single" w:sz="8" w:color="C0C0C0"/>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10,175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0" w:type="dxa"/>
            <w:vAlign w:val="bottom"/>
            <w:shd w:val="clear" w:color="auto" w:fill="C0C0C0"/>
          </w:tcPr>
          <w:p>
            <w:pPr>
              <w:spacing w:after="0"/>
              <w:rPr>
                <w:sz w:val="21"/>
                <w:szCs w:val="21"/>
                <w:color w:val="auto"/>
              </w:rPr>
            </w:pPr>
          </w:p>
        </w:tc>
        <w:tc>
          <w:tcPr>
            <w:tcW w:w="7780" w:type="dxa"/>
            <w:vAlign w:val="bottom"/>
            <w:gridSpan w:val="2"/>
            <w:shd w:val="clear" w:color="auto" w:fill="C0C0C0"/>
          </w:tcPr>
          <w:p>
            <w:pPr>
              <w:ind w:left="320"/>
              <w:spacing w:after="0"/>
              <w:rPr>
                <w:sz w:val="20"/>
                <w:szCs w:val="20"/>
                <w:color w:val="auto"/>
              </w:rPr>
            </w:pPr>
            <w:r>
              <w:rPr>
                <w:rFonts w:ascii="Arial" w:cs="Arial" w:eastAsia="Arial" w:hAnsi="Arial"/>
                <w:sz w:val="18"/>
                <w:szCs w:val="18"/>
                <w:color w:val="auto"/>
              </w:rPr>
              <w:t>Loans, net</w:t>
            </w:r>
          </w:p>
        </w:tc>
        <w:tc>
          <w:tcPr>
            <w:tcW w:w="260" w:type="dxa"/>
            <w:vAlign w:val="bottom"/>
            <w:tcBorders>
              <w:bottom w:val="single" w:sz="8" w:color="auto"/>
            </w:tcBorders>
            <w:shd w:val="clear" w:color="auto" w:fill="C0C0C0"/>
          </w:tcPr>
          <w:p>
            <w:pPr>
              <w:spacing w:after="0"/>
              <w:rPr>
                <w:sz w:val="21"/>
                <w:szCs w:val="21"/>
                <w:color w:val="auto"/>
              </w:rPr>
            </w:pPr>
          </w:p>
        </w:tc>
        <w:tc>
          <w:tcPr>
            <w:tcW w:w="118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661,487</w:t>
            </w:r>
          </w:p>
        </w:tc>
        <w:tc>
          <w:tcPr>
            <w:tcW w:w="260" w:type="dxa"/>
            <w:vAlign w:val="bottom"/>
            <w:shd w:val="clear" w:color="auto" w:fill="C0C0C0"/>
          </w:tcPr>
          <w:p>
            <w:pPr>
              <w:spacing w:after="0"/>
              <w:rPr>
                <w:sz w:val="21"/>
                <w:szCs w:val="21"/>
                <w:color w:val="auto"/>
              </w:rPr>
            </w:pPr>
          </w:p>
        </w:tc>
        <w:tc>
          <w:tcPr>
            <w:tcW w:w="260" w:type="dxa"/>
            <w:vAlign w:val="bottom"/>
            <w:tcBorders>
              <w:bottom w:val="single" w:sz="8" w:color="auto"/>
            </w:tcBorders>
            <w:shd w:val="clear" w:color="auto" w:fill="C0C0C0"/>
          </w:tcPr>
          <w:p>
            <w:pPr>
              <w:spacing w:after="0"/>
              <w:rPr>
                <w:sz w:val="21"/>
                <w:szCs w:val="21"/>
                <w:color w:val="auto"/>
              </w:rPr>
            </w:pPr>
          </w:p>
        </w:tc>
        <w:tc>
          <w:tcPr>
            <w:tcW w:w="9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654,691</w:t>
            </w:r>
          </w:p>
        </w:tc>
        <w:tc>
          <w:tcPr>
            <w:tcW w:w="0" w:type="dxa"/>
            <w:vAlign w:val="bottom"/>
          </w:tcPr>
          <w:p>
            <w:pPr>
              <w:spacing w:after="0"/>
              <w:rPr>
                <w:sz w:val="1"/>
                <w:szCs w:val="1"/>
                <w:color w:val="auto"/>
              </w:rPr>
            </w:pPr>
          </w:p>
        </w:tc>
      </w:tr>
      <w:tr>
        <w:trPr>
          <w:trHeight w:val="229"/>
        </w:trPr>
        <w:tc>
          <w:tcPr>
            <w:tcW w:w="8540" w:type="dxa"/>
            <w:vAlign w:val="bottom"/>
            <w:gridSpan w:val="4"/>
          </w:tcPr>
          <w:p>
            <w:pPr>
              <w:spacing w:after="0"/>
              <w:rPr>
                <w:sz w:val="20"/>
                <w:szCs w:val="20"/>
                <w:color w:val="auto"/>
              </w:rPr>
            </w:pPr>
            <w:r>
              <w:rPr>
                <w:rFonts w:ascii="Arial" w:cs="Arial" w:eastAsia="Arial" w:hAnsi="Arial"/>
                <w:sz w:val="18"/>
                <w:szCs w:val="18"/>
                <w:color w:val="auto"/>
              </w:rPr>
              <w:t>Premises and equipment, net</w:t>
            </w:r>
          </w:p>
        </w:tc>
        <w:tc>
          <w:tcPr>
            <w:tcW w:w="26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21,259</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21,086</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52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Investment in bank-owned life insurance</w:t>
            </w:r>
          </w:p>
        </w:tc>
        <w:tc>
          <w:tcPr>
            <w:tcW w:w="260" w:type="dxa"/>
            <w:vAlign w:val="bottom"/>
            <w:shd w:val="clear" w:color="auto" w:fill="C0C0C0"/>
          </w:tcPr>
          <w:p>
            <w:pPr>
              <w:spacing w:after="0"/>
              <w:rPr>
                <w:sz w:val="21"/>
                <w:szCs w:val="21"/>
                <w:color w:val="auto"/>
              </w:rPr>
            </w:pPr>
          </w:p>
        </w:tc>
        <w:tc>
          <w:tcPr>
            <w:tcW w:w="118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16,692</w:t>
            </w:r>
          </w:p>
        </w:tc>
        <w:tc>
          <w:tcPr>
            <w:tcW w:w="2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9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16,445</w:t>
            </w:r>
          </w:p>
        </w:tc>
        <w:tc>
          <w:tcPr>
            <w:tcW w:w="0" w:type="dxa"/>
            <w:vAlign w:val="bottom"/>
          </w:tcPr>
          <w:p>
            <w:pPr>
              <w:spacing w:after="0"/>
              <w:rPr>
                <w:sz w:val="1"/>
                <w:szCs w:val="1"/>
                <w:color w:val="auto"/>
              </w:rPr>
            </w:pPr>
          </w:p>
        </w:tc>
      </w:tr>
      <w:tr>
        <w:trPr>
          <w:trHeight w:val="235"/>
        </w:trPr>
        <w:tc>
          <w:tcPr>
            <w:tcW w:w="8540" w:type="dxa"/>
            <w:vAlign w:val="bottom"/>
            <w:gridSpan w:val="4"/>
          </w:tcPr>
          <w:p>
            <w:pPr>
              <w:spacing w:after="0"/>
              <w:rPr>
                <w:sz w:val="20"/>
                <w:szCs w:val="20"/>
                <w:color w:val="auto"/>
              </w:rPr>
            </w:pPr>
            <w:r>
              <w:rPr>
                <w:rFonts w:ascii="Arial" w:cs="Arial" w:eastAsia="Arial" w:hAnsi="Arial"/>
                <w:sz w:val="18"/>
                <w:szCs w:val="18"/>
                <w:color w:val="auto"/>
              </w:rPr>
              <w:t>Payments in excess of funding</w:t>
            </w:r>
          </w:p>
        </w:tc>
        <w:tc>
          <w:tcPr>
            <w:tcW w:w="260" w:type="dxa"/>
            <w:vAlign w:val="bottom"/>
          </w:tcPr>
          <w:p>
            <w:pPr>
              <w:spacing w:after="0"/>
              <w:rPr>
                <w:sz w:val="20"/>
                <w:szCs w:val="20"/>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111,435</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105,347</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52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C0C0C0"/>
          </w:tcPr>
          <w:p>
            <w:pPr>
              <w:spacing w:after="0"/>
              <w:rPr>
                <w:sz w:val="21"/>
                <w:szCs w:val="21"/>
                <w:color w:val="auto"/>
              </w:rPr>
            </w:pPr>
          </w:p>
        </w:tc>
        <w:tc>
          <w:tcPr>
            <w:tcW w:w="118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12,569</w:t>
            </w:r>
          </w:p>
        </w:tc>
        <w:tc>
          <w:tcPr>
            <w:tcW w:w="2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9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11,590</w:t>
            </w:r>
          </w:p>
        </w:tc>
        <w:tc>
          <w:tcPr>
            <w:tcW w:w="0" w:type="dxa"/>
            <w:vAlign w:val="bottom"/>
          </w:tcPr>
          <w:p>
            <w:pPr>
              <w:spacing w:after="0"/>
              <w:rPr>
                <w:sz w:val="1"/>
                <w:szCs w:val="1"/>
                <w:color w:val="auto"/>
              </w:rPr>
            </w:pPr>
          </w:p>
        </w:tc>
      </w:tr>
      <w:tr>
        <w:trPr>
          <w:trHeight w:val="235"/>
        </w:trPr>
        <w:tc>
          <w:tcPr>
            <w:tcW w:w="8540" w:type="dxa"/>
            <w:vAlign w:val="bottom"/>
            <w:gridSpan w:val="4"/>
          </w:tcPr>
          <w:p>
            <w:pPr>
              <w:spacing w:after="0"/>
              <w:rPr>
                <w:sz w:val="20"/>
                <w:szCs w:val="20"/>
                <w:color w:val="auto"/>
              </w:rPr>
            </w:pPr>
            <w:r>
              <w:rPr>
                <w:rFonts w:ascii="Arial" w:cs="Arial" w:eastAsia="Arial" w:hAnsi="Arial"/>
                <w:sz w:val="18"/>
                <w:szCs w:val="18"/>
                <w:color w:val="auto"/>
              </w:rPr>
              <w:t>Other intangible assets, net</w:t>
            </w:r>
          </w:p>
        </w:tc>
        <w:tc>
          <w:tcPr>
            <w:tcW w:w="260" w:type="dxa"/>
            <w:vAlign w:val="bottom"/>
          </w:tcPr>
          <w:p>
            <w:pPr>
              <w:spacing w:after="0"/>
              <w:rPr>
                <w:sz w:val="20"/>
                <w:szCs w:val="20"/>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2,217</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1,997</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52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auto"/>
            </w:tcBorders>
            <w:shd w:val="clear" w:color="auto" w:fill="C0C0C0"/>
          </w:tcPr>
          <w:p>
            <w:pPr>
              <w:spacing w:after="0"/>
              <w:rPr>
                <w:sz w:val="21"/>
                <w:szCs w:val="21"/>
                <w:color w:val="auto"/>
              </w:rPr>
            </w:pPr>
          </w:p>
        </w:tc>
        <w:tc>
          <w:tcPr>
            <w:tcW w:w="118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34,584</w:t>
            </w:r>
          </w:p>
        </w:tc>
        <w:tc>
          <w:tcPr>
            <w:tcW w:w="260" w:type="dxa"/>
            <w:vAlign w:val="bottom"/>
            <w:shd w:val="clear" w:color="auto" w:fill="C0C0C0"/>
          </w:tcPr>
          <w:p>
            <w:pPr>
              <w:spacing w:after="0"/>
              <w:rPr>
                <w:sz w:val="21"/>
                <w:szCs w:val="21"/>
                <w:color w:val="auto"/>
              </w:rPr>
            </w:pPr>
          </w:p>
        </w:tc>
        <w:tc>
          <w:tcPr>
            <w:tcW w:w="260" w:type="dxa"/>
            <w:vAlign w:val="bottom"/>
            <w:tcBorders>
              <w:bottom w:val="single" w:sz="8" w:color="auto"/>
            </w:tcBorders>
            <w:shd w:val="clear" w:color="auto" w:fill="C0C0C0"/>
          </w:tcPr>
          <w:p>
            <w:pPr>
              <w:spacing w:after="0"/>
              <w:rPr>
                <w:sz w:val="21"/>
                <w:szCs w:val="21"/>
                <w:color w:val="auto"/>
              </w:rPr>
            </w:pPr>
          </w:p>
        </w:tc>
        <w:tc>
          <w:tcPr>
            <w:tcW w:w="9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36,388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520" w:type="dxa"/>
            <w:vAlign w:val="bottom"/>
            <w:gridSpan w:val="3"/>
          </w:tcPr>
          <w:p>
            <w:pPr>
              <w:ind w:left="52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1,593,282</w:t>
            </w:r>
          </w:p>
        </w:tc>
        <w:tc>
          <w:tcPr>
            <w:tcW w:w="260" w:type="dxa"/>
            <w:vAlign w:val="bottom"/>
          </w:tcPr>
          <w:p>
            <w:pPr>
              <w:spacing w:after="0"/>
              <w:rPr>
                <w:sz w:val="21"/>
                <w:szCs w:val="21"/>
                <w:color w:val="auto"/>
              </w:rPr>
            </w:pP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1,504,839</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520" w:type="dxa"/>
            <w:vAlign w:val="bottom"/>
            <w:gridSpan w:val="3"/>
            <w:shd w:val="clear" w:color="auto" w:fill="C0C0C0"/>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60" w:type="dxa"/>
            <w:vAlign w:val="bottom"/>
            <w:shd w:val="clear" w:color="auto" w:fill="C0C0C0"/>
          </w:tcPr>
          <w:p>
            <w:pPr>
              <w:spacing w:after="0"/>
              <w:rPr>
                <w:sz w:val="21"/>
                <w:szCs w:val="21"/>
                <w:color w:val="auto"/>
              </w:rPr>
            </w:pPr>
          </w:p>
        </w:tc>
        <w:tc>
          <w:tcPr>
            <w:tcW w:w="118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92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8540" w:type="dxa"/>
            <w:vAlign w:val="bottom"/>
            <w:gridSpan w:val="4"/>
          </w:tcPr>
          <w:p>
            <w:pPr>
              <w:spacing w:after="0" w:line="189" w:lineRule="exact"/>
              <w:rPr>
                <w:sz w:val="20"/>
                <w:szCs w:val="20"/>
                <w:color w:val="auto"/>
              </w:rPr>
            </w:pPr>
            <w:r>
              <w:rPr>
                <w:rFonts w:ascii="Arial" w:cs="Arial" w:eastAsia="Arial" w:hAnsi="Arial"/>
                <w:sz w:val="18"/>
                <w:szCs w:val="18"/>
                <w:color w:val="auto"/>
              </w:rPr>
              <w:t>Liabilities:</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780" w:type="dxa"/>
            <w:vAlign w:val="bottom"/>
          </w:tcPr>
          <w:p>
            <w:pPr>
              <w:spacing w:after="0"/>
              <w:rPr>
                <w:sz w:val="2"/>
                <w:szCs w:val="2"/>
                <w:color w:val="auto"/>
              </w:rPr>
            </w:pPr>
          </w:p>
        </w:tc>
        <w:tc>
          <w:tcPr>
            <w:tcW w:w="7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852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Deposits:</w:t>
            </w:r>
          </w:p>
        </w:tc>
        <w:tc>
          <w:tcPr>
            <w:tcW w:w="260" w:type="dxa"/>
            <w:vAlign w:val="bottom"/>
            <w:shd w:val="clear" w:color="auto" w:fill="C0C0C0"/>
          </w:tcPr>
          <w:p>
            <w:pPr>
              <w:spacing w:after="0"/>
              <w:rPr>
                <w:sz w:val="21"/>
                <w:szCs w:val="21"/>
                <w:color w:val="auto"/>
              </w:rPr>
            </w:pPr>
          </w:p>
        </w:tc>
        <w:tc>
          <w:tcPr>
            <w:tcW w:w="118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92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520" w:type="dxa"/>
            <w:vAlign w:val="bottom"/>
            <w:gridSpan w:val="3"/>
          </w:tcPr>
          <w:p>
            <w:pPr>
              <w:ind w:left="260"/>
              <w:spacing w:after="0"/>
              <w:rPr>
                <w:sz w:val="20"/>
                <w:szCs w:val="20"/>
                <w:color w:val="auto"/>
              </w:rPr>
            </w:pPr>
            <w:r>
              <w:rPr>
                <w:rFonts w:ascii="Arial" w:cs="Arial" w:eastAsia="Arial" w:hAnsi="Arial"/>
                <w:sz w:val="18"/>
                <w:szCs w:val="18"/>
                <w:color w:val="auto"/>
              </w:rPr>
              <w:t>Noninterest-bearing</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201,942</w:t>
            </w:r>
          </w:p>
        </w:tc>
        <w:tc>
          <w:tcPr>
            <w:tcW w:w="260" w:type="dxa"/>
            <w:vAlign w:val="bottom"/>
          </w:tcPr>
          <w:p>
            <w:pPr>
              <w:spacing w:after="0"/>
              <w:rPr>
                <w:sz w:val="20"/>
                <w:szCs w:val="20"/>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214,656</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520" w:type="dxa"/>
            <w:vAlign w:val="bottom"/>
            <w:gridSpan w:val="3"/>
            <w:shd w:val="clear" w:color="auto" w:fill="C0C0C0"/>
          </w:tcPr>
          <w:p>
            <w:pPr>
              <w:ind w:left="260"/>
              <w:spacing w:after="0"/>
              <w:rPr>
                <w:sz w:val="20"/>
                <w:szCs w:val="20"/>
                <w:color w:val="auto"/>
              </w:rPr>
            </w:pPr>
            <w:r>
              <w:rPr>
                <w:rFonts w:ascii="Arial" w:cs="Arial" w:eastAsia="Arial" w:hAnsi="Arial"/>
                <w:sz w:val="18"/>
                <w:szCs w:val="18"/>
                <w:color w:val="auto"/>
              </w:rPr>
              <w:t>Interest-bearing</w:t>
            </w:r>
          </w:p>
        </w:tc>
        <w:tc>
          <w:tcPr>
            <w:tcW w:w="260" w:type="dxa"/>
            <w:vAlign w:val="bottom"/>
            <w:tcBorders>
              <w:bottom w:val="single" w:sz="8" w:color="auto"/>
            </w:tcBorders>
            <w:shd w:val="clear" w:color="auto" w:fill="C0C0C0"/>
          </w:tcPr>
          <w:p>
            <w:pPr>
              <w:spacing w:after="0"/>
              <w:rPr>
                <w:sz w:val="21"/>
                <w:szCs w:val="21"/>
                <w:color w:val="auto"/>
              </w:rPr>
            </w:pPr>
          </w:p>
        </w:tc>
        <w:tc>
          <w:tcPr>
            <w:tcW w:w="118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403,097</w:t>
            </w:r>
          </w:p>
        </w:tc>
        <w:tc>
          <w:tcPr>
            <w:tcW w:w="260" w:type="dxa"/>
            <w:vAlign w:val="bottom"/>
            <w:shd w:val="clear" w:color="auto" w:fill="C0C0C0"/>
          </w:tcPr>
          <w:p>
            <w:pPr>
              <w:spacing w:after="0"/>
              <w:rPr>
                <w:sz w:val="21"/>
                <w:szCs w:val="21"/>
                <w:color w:val="auto"/>
              </w:rPr>
            </w:pPr>
          </w:p>
        </w:tc>
        <w:tc>
          <w:tcPr>
            <w:tcW w:w="260" w:type="dxa"/>
            <w:vAlign w:val="bottom"/>
            <w:tcBorders>
              <w:bottom w:val="single" w:sz="8" w:color="auto"/>
            </w:tcBorders>
            <w:shd w:val="clear" w:color="auto" w:fill="C0C0C0"/>
          </w:tcPr>
          <w:p>
            <w:pPr>
              <w:spacing w:after="0"/>
              <w:rPr>
                <w:sz w:val="21"/>
                <w:szCs w:val="21"/>
                <w:color w:val="auto"/>
              </w:rPr>
            </w:pPr>
          </w:p>
        </w:tc>
        <w:tc>
          <w:tcPr>
            <w:tcW w:w="9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407,305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20" w:type="dxa"/>
            <w:vAlign w:val="bottom"/>
            <w:tcBorders>
              <w:bottom w:val="single" w:sz="8" w:color="C0C0C0"/>
            </w:tcBorders>
            <w:gridSpan w:val="3"/>
          </w:tcPr>
          <w:p>
            <w:pPr>
              <w:ind w:left="520"/>
              <w:spacing w:after="0"/>
              <w:rPr>
                <w:sz w:val="20"/>
                <w:szCs w:val="20"/>
                <w:color w:val="auto"/>
              </w:rPr>
            </w:pPr>
            <w:r>
              <w:rPr>
                <w:rFonts w:ascii="Arial" w:cs="Arial" w:eastAsia="Arial" w:hAnsi="Arial"/>
                <w:sz w:val="18"/>
                <w:szCs w:val="18"/>
                <w:color w:val="auto"/>
              </w:rPr>
              <w:t>Total deposits</w:t>
            </w: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605,039</w:t>
            </w:r>
          </w:p>
        </w:tc>
        <w:tc>
          <w:tcPr>
            <w:tcW w:w="260" w:type="dxa"/>
            <w:vAlign w:val="bottom"/>
            <w:tcBorders>
              <w:bottom w:val="single" w:sz="8" w:color="C0C0C0"/>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621,961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52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Accounts and drafts payable</w:t>
            </w:r>
          </w:p>
        </w:tc>
        <w:tc>
          <w:tcPr>
            <w:tcW w:w="260" w:type="dxa"/>
            <w:vAlign w:val="bottom"/>
            <w:shd w:val="clear" w:color="auto" w:fill="C0C0C0"/>
          </w:tcPr>
          <w:p>
            <w:pPr>
              <w:spacing w:after="0"/>
              <w:rPr>
                <w:sz w:val="21"/>
                <w:szCs w:val="21"/>
                <w:color w:val="auto"/>
              </w:rPr>
            </w:pPr>
          </w:p>
        </w:tc>
        <w:tc>
          <w:tcPr>
            <w:tcW w:w="118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729,403</w:t>
            </w:r>
          </w:p>
        </w:tc>
        <w:tc>
          <w:tcPr>
            <w:tcW w:w="2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9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642,287</w:t>
            </w:r>
          </w:p>
        </w:tc>
        <w:tc>
          <w:tcPr>
            <w:tcW w:w="0" w:type="dxa"/>
            <w:vAlign w:val="bottom"/>
          </w:tcPr>
          <w:p>
            <w:pPr>
              <w:spacing w:after="0"/>
              <w:rPr>
                <w:sz w:val="1"/>
                <w:szCs w:val="1"/>
                <w:color w:val="auto"/>
              </w:rPr>
            </w:pPr>
          </w:p>
        </w:tc>
      </w:tr>
      <w:tr>
        <w:trPr>
          <w:trHeight w:val="237"/>
        </w:trPr>
        <w:tc>
          <w:tcPr>
            <w:tcW w:w="8540" w:type="dxa"/>
            <w:vAlign w:val="bottom"/>
            <w:gridSpan w:val="4"/>
          </w:tcPr>
          <w:p>
            <w:pPr>
              <w:spacing w:after="0"/>
              <w:rPr>
                <w:sz w:val="20"/>
                <w:szCs w:val="20"/>
                <w:color w:val="auto"/>
              </w:rPr>
            </w:pPr>
            <w:r>
              <w:rPr>
                <w:rFonts w:ascii="Arial" w:cs="Arial" w:eastAsia="Arial" w:hAnsi="Arial"/>
                <w:sz w:val="18"/>
                <w:szCs w:val="18"/>
                <w:color w:val="auto"/>
              </w:rPr>
              <w:t>Other liabilities</w:t>
            </w:r>
          </w:p>
        </w:tc>
        <w:tc>
          <w:tcPr>
            <w:tcW w:w="260" w:type="dxa"/>
            <w:vAlign w:val="bottom"/>
          </w:tcPr>
          <w:p>
            <w:pPr>
              <w:spacing w:after="0"/>
              <w:rPr>
                <w:sz w:val="20"/>
                <w:szCs w:val="20"/>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37,482</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32,556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520" w:type="dxa"/>
            <w:vAlign w:val="bottom"/>
            <w:tcBorders>
              <w:top w:val="single" w:sz="8" w:color="C0C0C0"/>
              <w:bottom w:val="single" w:sz="8" w:color="C0C0C0"/>
            </w:tcBorders>
            <w:gridSpan w:val="3"/>
            <w:shd w:val="clear" w:color="auto" w:fill="C0C0C0"/>
          </w:tcPr>
          <w:p>
            <w:pPr>
              <w:ind w:left="52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bottom w:val="single" w:sz="8" w:color="auto"/>
            </w:tcBorders>
            <w:shd w:val="clear" w:color="auto" w:fill="C0C0C0"/>
          </w:tcPr>
          <w:p>
            <w:pPr>
              <w:spacing w:after="0"/>
              <w:rPr>
                <w:sz w:val="20"/>
                <w:szCs w:val="20"/>
                <w:color w:val="auto"/>
              </w:rPr>
            </w:pPr>
          </w:p>
        </w:tc>
        <w:tc>
          <w:tcPr>
            <w:tcW w:w="1180" w:type="dxa"/>
            <w:vAlign w:val="bottom"/>
            <w:tcBorders>
              <w:top w:val="single" w:sz="8" w:color="auto"/>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1,371,924</w:t>
            </w:r>
          </w:p>
        </w:tc>
        <w:tc>
          <w:tcPr>
            <w:tcW w:w="260" w:type="dxa"/>
            <w:vAlign w:val="bottom"/>
            <w:tcBorders>
              <w:top w:val="single" w:sz="8" w:color="C0C0C0"/>
              <w:bottom w:val="single" w:sz="8" w:color="C0C0C0"/>
            </w:tcBorders>
            <w:shd w:val="clear" w:color="auto" w:fill="C0C0C0"/>
          </w:tcPr>
          <w:p>
            <w:pPr>
              <w:spacing w:after="0"/>
              <w:rPr>
                <w:sz w:val="20"/>
                <w:szCs w:val="20"/>
                <w:color w:val="auto"/>
              </w:rPr>
            </w:pPr>
          </w:p>
        </w:tc>
        <w:tc>
          <w:tcPr>
            <w:tcW w:w="260" w:type="dxa"/>
            <w:vAlign w:val="bottom"/>
            <w:tcBorders>
              <w:top w:val="single" w:sz="8" w:color="auto"/>
              <w:bottom w:val="single" w:sz="8" w:color="auto"/>
            </w:tcBorders>
            <w:shd w:val="clear" w:color="auto" w:fill="C0C0C0"/>
          </w:tcPr>
          <w:p>
            <w:pPr>
              <w:spacing w:after="0"/>
              <w:rPr>
                <w:sz w:val="20"/>
                <w:szCs w:val="20"/>
                <w:color w:val="auto"/>
              </w:rPr>
            </w:pPr>
          </w:p>
        </w:tc>
        <w:tc>
          <w:tcPr>
            <w:tcW w:w="92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1,296,804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0" w:type="dxa"/>
            <w:vAlign w:val="bottom"/>
            <w:shd w:val="clear" w:color="auto" w:fill="C0C0C0"/>
          </w:tcPr>
          <w:p>
            <w:pPr>
              <w:spacing w:after="0"/>
              <w:rPr>
                <w:sz w:val="19"/>
                <w:szCs w:val="19"/>
                <w:color w:val="auto"/>
              </w:rPr>
            </w:pPr>
          </w:p>
        </w:tc>
        <w:tc>
          <w:tcPr>
            <w:tcW w:w="780" w:type="dxa"/>
            <w:vAlign w:val="bottom"/>
            <w:shd w:val="clear" w:color="auto" w:fill="C0C0C0"/>
          </w:tcPr>
          <w:p>
            <w:pPr>
              <w:spacing w:after="0"/>
              <w:rPr>
                <w:sz w:val="19"/>
                <w:szCs w:val="19"/>
                <w:color w:val="auto"/>
              </w:rPr>
            </w:pPr>
          </w:p>
        </w:tc>
        <w:tc>
          <w:tcPr>
            <w:tcW w:w="700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118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920" w:type="dxa"/>
            <w:vAlign w:val="bottom"/>
            <w:shd w:val="clear" w:color="auto" w:fill="C0C0C0"/>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8540" w:type="dxa"/>
            <w:vAlign w:val="bottom"/>
            <w:gridSpan w:val="4"/>
          </w:tcPr>
          <w:p>
            <w:pPr>
              <w:spacing w:after="0" w:line="189" w:lineRule="exact"/>
              <w:rPr>
                <w:sz w:val="20"/>
                <w:szCs w:val="20"/>
                <w:color w:val="auto"/>
              </w:rPr>
            </w:pPr>
            <w:r>
              <w:rPr>
                <w:rFonts w:ascii="Arial" w:cs="Arial" w:eastAsia="Arial" w:hAnsi="Arial"/>
                <w:sz w:val="18"/>
                <w:szCs w:val="18"/>
                <w:color w:val="auto"/>
              </w:rPr>
              <w:t>Shareholders’ Equity:</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7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852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Preferred stock, par value $.50 per share; 2,000,000 shares authorized and no shares issued</w:t>
            </w:r>
          </w:p>
        </w:tc>
        <w:tc>
          <w:tcPr>
            <w:tcW w:w="260" w:type="dxa"/>
            <w:vAlign w:val="bottom"/>
            <w:shd w:val="clear" w:color="auto" w:fill="C0C0C0"/>
          </w:tcPr>
          <w:p>
            <w:pPr>
              <w:spacing w:after="0"/>
              <w:rPr>
                <w:sz w:val="21"/>
                <w:szCs w:val="21"/>
                <w:color w:val="auto"/>
              </w:rPr>
            </w:pPr>
          </w:p>
        </w:tc>
        <w:tc>
          <w:tcPr>
            <w:tcW w:w="1440" w:type="dxa"/>
            <w:vAlign w:val="bottom"/>
            <w:gridSpan w:val="2"/>
            <w:shd w:val="clear" w:color="auto" w:fill="C0C0C0"/>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0C0C0"/>
          </w:tcPr>
          <w:p>
            <w:pPr>
              <w:spacing w:after="0"/>
              <w:rPr>
                <w:sz w:val="21"/>
                <w:szCs w:val="21"/>
                <w:color w:val="auto"/>
              </w:rPr>
            </w:pPr>
          </w:p>
        </w:tc>
        <w:tc>
          <w:tcPr>
            <w:tcW w:w="9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8540" w:type="dxa"/>
            <w:vAlign w:val="bottom"/>
            <w:gridSpan w:val="4"/>
          </w:tcPr>
          <w:p>
            <w:pPr>
              <w:spacing w:after="0"/>
              <w:rPr>
                <w:sz w:val="20"/>
                <w:szCs w:val="20"/>
                <w:color w:val="auto"/>
              </w:rPr>
            </w:pPr>
            <w:r>
              <w:rPr>
                <w:rFonts w:ascii="Arial" w:cs="Arial" w:eastAsia="Arial" w:hAnsi="Arial"/>
                <w:sz w:val="18"/>
                <w:szCs w:val="18"/>
                <w:color w:val="auto"/>
                <w:w w:val="93"/>
              </w:rPr>
              <w:t>Common stock, par value $.50 per share; 40,000,000 shares authorized and 11,931,147 shares issued at June 30,</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520" w:type="dxa"/>
            <w:vAlign w:val="bottom"/>
            <w:gridSpan w:val="3"/>
          </w:tcPr>
          <w:p>
            <w:pPr>
              <w:ind w:left="260"/>
              <w:spacing w:after="0"/>
              <w:rPr>
                <w:sz w:val="20"/>
                <w:szCs w:val="20"/>
                <w:color w:val="auto"/>
              </w:rPr>
            </w:pPr>
            <w:r>
              <w:rPr>
                <w:rFonts w:ascii="Arial" w:cs="Arial" w:eastAsia="Arial" w:hAnsi="Arial"/>
                <w:sz w:val="18"/>
                <w:szCs w:val="18"/>
                <w:color w:val="auto"/>
              </w:rPr>
              <w:t>2017 and December 31, 2016</w:t>
            </w:r>
          </w:p>
        </w:tc>
        <w:tc>
          <w:tcPr>
            <w:tcW w:w="26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5,966</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5,966</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52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Additional paid-in capital</w:t>
            </w:r>
          </w:p>
        </w:tc>
        <w:tc>
          <w:tcPr>
            <w:tcW w:w="260" w:type="dxa"/>
            <w:vAlign w:val="bottom"/>
            <w:shd w:val="clear" w:color="auto" w:fill="C0C0C0"/>
          </w:tcPr>
          <w:p>
            <w:pPr>
              <w:spacing w:after="0"/>
              <w:rPr>
                <w:sz w:val="21"/>
                <w:szCs w:val="21"/>
                <w:color w:val="auto"/>
              </w:rPr>
            </w:pPr>
          </w:p>
        </w:tc>
        <w:tc>
          <w:tcPr>
            <w:tcW w:w="118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128,478</w:t>
            </w:r>
          </w:p>
        </w:tc>
        <w:tc>
          <w:tcPr>
            <w:tcW w:w="2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9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128,455</w:t>
            </w:r>
          </w:p>
        </w:tc>
        <w:tc>
          <w:tcPr>
            <w:tcW w:w="0" w:type="dxa"/>
            <w:vAlign w:val="bottom"/>
          </w:tcPr>
          <w:p>
            <w:pPr>
              <w:spacing w:after="0"/>
              <w:rPr>
                <w:sz w:val="1"/>
                <w:szCs w:val="1"/>
                <w:color w:val="auto"/>
              </w:rPr>
            </w:pPr>
          </w:p>
        </w:tc>
      </w:tr>
      <w:tr>
        <w:trPr>
          <w:trHeight w:val="235"/>
        </w:trPr>
        <w:tc>
          <w:tcPr>
            <w:tcW w:w="8540" w:type="dxa"/>
            <w:vAlign w:val="bottom"/>
            <w:gridSpan w:val="4"/>
          </w:tcPr>
          <w:p>
            <w:pPr>
              <w:spacing w:after="0"/>
              <w:rPr>
                <w:sz w:val="20"/>
                <w:szCs w:val="20"/>
                <w:color w:val="auto"/>
              </w:rPr>
            </w:pPr>
            <w:r>
              <w:rPr>
                <w:rFonts w:ascii="Arial" w:cs="Arial" w:eastAsia="Arial" w:hAnsi="Arial"/>
                <w:sz w:val="18"/>
                <w:szCs w:val="18"/>
                <w:color w:val="auto"/>
              </w:rPr>
              <w:t>Retained earnings</w:t>
            </w:r>
          </w:p>
        </w:tc>
        <w:tc>
          <w:tcPr>
            <w:tcW w:w="260" w:type="dxa"/>
            <w:vAlign w:val="bottom"/>
          </w:tcPr>
          <w:p>
            <w:pPr>
              <w:spacing w:after="0"/>
              <w:rPr>
                <w:sz w:val="20"/>
                <w:szCs w:val="20"/>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126,032</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118,363</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520" w:type="dxa"/>
            <w:vAlign w:val="bottom"/>
            <w:gridSpan w:val="3"/>
            <w:shd w:val="clear" w:color="auto" w:fill="C0C0C0"/>
          </w:tcPr>
          <w:p>
            <w:pPr>
              <w:spacing w:after="0"/>
              <w:rPr>
                <w:sz w:val="20"/>
                <w:szCs w:val="20"/>
                <w:color w:val="auto"/>
              </w:rPr>
            </w:pPr>
            <w:r>
              <w:rPr>
                <w:rFonts w:ascii="Arial" w:cs="Arial" w:eastAsia="Arial" w:hAnsi="Arial"/>
                <w:sz w:val="18"/>
                <w:szCs w:val="18"/>
                <w:color w:val="auto"/>
                <w:w w:val="93"/>
              </w:rPr>
              <w:t>Common shares in treasury, at cost (727,346 shares at June 30, 2017 and 742,681 shares at December 31, 2016)</w:t>
            </w:r>
          </w:p>
        </w:tc>
        <w:tc>
          <w:tcPr>
            <w:tcW w:w="260" w:type="dxa"/>
            <w:vAlign w:val="bottom"/>
            <w:shd w:val="clear" w:color="auto" w:fill="C0C0C0"/>
          </w:tcPr>
          <w:p>
            <w:pPr>
              <w:spacing w:after="0"/>
              <w:rPr>
                <w:sz w:val="21"/>
                <w:szCs w:val="21"/>
                <w:color w:val="auto"/>
              </w:rPr>
            </w:pPr>
          </w:p>
        </w:tc>
        <w:tc>
          <w:tcPr>
            <w:tcW w:w="11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(29,922)</w:t>
            </w:r>
          </w:p>
        </w:tc>
        <w:tc>
          <w:tcPr>
            <w:tcW w:w="2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9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(30,206)</w:t>
            </w:r>
          </w:p>
        </w:tc>
        <w:tc>
          <w:tcPr>
            <w:tcW w:w="0" w:type="dxa"/>
            <w:vAlign w:val="bottom"/>
          </w:tcPr>
          <w:p>
            <w:pPr>
              <w:spacing w:after="0"/>
              <w:rPr>
                <w:sz w:val="1"/>
                <w:szCs w:val="1"/>
                <w:color w:val="auto"/>
              </w:rPr>
            </w:pPr>
          </w:p>
        </w:tc>
      </w:tr>
      <w:tr>
        <w:trPr>
          <w:trHeight w:val="237"/>
        </w:trPr>
        <w:tc>
          <w:tcPr>
            <w:tcW w:w="8540" w:type="dxa"/>
            <w:vAlign w:val="bottom"/>
            <w:gridSpan w:val="4"/>
          </w:tcPr>
          <w:p>
            <w:pPr>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(9,196)</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(14,543)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520" w:type="dxa"/>
            <w:vAlign w:val="bottom"/>
            <w:tcBorders>
              <w:top w:val="single" w:sz="8" w:color="C0C0C0"/>
            </w:tcBorders>
            <w:gridSpan w:val="3"/>
            <w:shd w:val="clear" w:color="auto" w:fill="C0C0C0"/>
          </w:tcPr>
          <w:p>
            <w:pPr>
              <w:ind w:left="520"/>
              <w:spacing w:after="0"/>
              <w:rPr>
                <w:sz w:val="20"/>
                <w:szCs w:val="20"/>
                <w:color w:val="auto"/>
              </w:rPr>
            </w:pPr>
            <w:r>
              <w:rPr>
                <w:rFonts w:ascii="Arial" w:cs="Arial" w:eastAsia="Arial" w:hAnsi="Arial"/>
                <w:sz w:val="18"/>
                <w:szCs w:val="18"/>
                <w:color w:val="auto"/>
              </w:rPr>
              <w:t>Total shareholders’ equity</w:t>
            </w:r>
          </w:p>
        </w:tc>
        <w:tc>
          <w:tcPr>
            <w:tcW w:w="260" w:type="dxa"/>
            <w:vAlign w:val="bottom"/>
            <w:tcBorders>
              <w:top w:val="single" w:sz="8" w:color="auto"/>
              <w:bottom w:val="single" w:sz="8" w:color="auto"/>
            </w:tcBorders>
            <w:shd w:val="clear" w:color="auto" w:fill="C0C0C0"/>
          </w:tcPr>
          <w:p>
            <w:pPr>
              <w:spacing w:after="0"/>
              <w:rPr>
                <w:sz w:val="20"/>
                <w:szCs w:val="20"/>
                <w:color w:val="auto"/>
              </w:rPr>
            </w:pPr>
          </w:p>
        </w:tc>
        <w:tc>
          <w:tcPr>
            <w:tcW w:w="1180" w:type="dxa"/>
            <w:vAlign w:val="bottom"/>
            <w:tcBorders>
              <w:top w:val="single" w:sz="8" w:color="auto"/>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221,358</w:t>
            </w:r>
          </w:p>
        </w:tc>
        <w:tc>
          <w:tcPr>
            <w:tcW w:w="260" w:type="dxa"/>
            <w:vAlign w:val="bottom"/>
            <w:tcBorders>
              <w:top w:val="single" w:sz="8" w:color="C0C0C0"/>
            </w:tcBorders>
            <w:shd w:val="clear" w:color="auto" w:fill="C0C0C0"/>
          </w:tcPr>
          <w:p>
            <w:pPr>
              <w:spacing w:after="0"/>
              <w:rPr>
                <w:sz w:val="20"/>
                <w:szCs w:val="20"/>
                <w:color w:val="auto"/>
              </w:rPr>
            </w:pPr>
          </w:p>
        </w:tc>
        <w:tc>
          <w:tcPr>
            <w:tcW w:w="260" w:type="dxa"/>
            <w:vAlign w:val="bottom"/>
            <w:tcBorders>
              <w:top w:val="single" w:sz="8" w:color="auto"/>
              <w:bottom w:val="single" w:sz="8" w:color="auto"/>
            </w:tcBorders>
            <w:shd w:val="clear" w:color="auto" w:fill="C0C0C0"/>
          </w:tcPr>
          <w:p>
            <w:pPr>
              <w:spacing w:after="0"/>
              <w:rPr>
                <w:sz w:val="20"/>
                <w:szCs w:val="20"/>
                <w:color w:val="auto"/>
              </w:rPr>
            </w:pPr>
          </w:p>
        </w:tc>
        <w:tc>
          <w:tcPr>
            <w:tcW w:w="92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208,035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780" w:type="dxa"/>
            <w:vAlign w:val="bottom"/>
            <w:gridSpan w:val="2"/>
          </w:tcPr>
          <w:p>
            <w:pPr>
              <w:ind w:left="60"/>
              <w:spacing w:after="0"/>
              <w:rPr>
                <w:sz w:val="20"/>
                <w:szCs w:val="20"/>
                <w:color w:val="auto"/>
              </w:rPr>
            </w:pPr>
            <w:r>
              <w:rPr>
                <w:rFonts w:ascii="Arial" w:cs="Arial" w:eastAsia="Arial" w:hAnsi="Arial"/>
                <w:sz w:val="18"/>
                <w:szCs w:val="18"/>
                <w:color w:val="auto"/>
              </w:rPr>
              <w:t>Total liabilities and shareholders’ equity</w:t>
            </w: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1,593,282</w:t>
            </w:r>
          </w:p>
        </w:tc>
        <w:tc>
          <w:tcPr>
            <w:tcW w:w="260" w:type="dxa"/>
            <w:vAlign w:val="bottom"/>
          </w:tcPr>
          <w:p>
            <w:pPr>
              <w:spacing w:after="0"/>
              <w:rPr>
                <w:sz w:val="21"/>
                <w:szCs w:val="21"/>
                <w:color w:val="auto"/>
              </w:rPr>
            </w:pP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1,504,839</w:t>
            </w: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CASS INFORMATION SYSTEMS, INC.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gridSpan w:val="5"/>
          </w:tcPr>
          <w:p>
            <w:pPr>
              <w:ind w:left="2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gridSpan w:val="5"/>
          </w:tcPr>
          <w:p>
            <w:pPr>
              <w:jc w:val="right"/>
              <w:ind w:right="192"/>
              <w:spacing w:after="0"/>
              <w:rPr>
                <w:sz w:val="20"/>
                <w:szCs w:val="20"/>
                <w:color w:val="auto"/>
              </w:rPr>
            </w:pPr>
            <w:r>
              <w:rPr>
                <w:rFonts w:ascii="Arial" w:cs="Arial" w:eastAsia="Arial" w:hAnsi="Arial"/>
                <w:sz w:val="18"/>
                <w:szCs w:val="18"/>
                <w:b w:val="1"/>
                <w:bCs w:val="1"/>
                <w:color w:val="auto"/>
                <w:w w:val="96"/>
              </w:rPr>
              <w:t>Six Months Ended</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58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6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June 30,</w:t>
            </w:r>
          </w:p>
        </w:tc>
        <w:tc>
          <w:tcPr>
            <w:tcW w:w="6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8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2017</w:t>
            </w:r>
          </w:p>
        </w:tc>
        <w:tc>
          <w:tcPr>
            <w:tcW w:w="2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84"/>
              </w:rPr>
              <w:t>2016</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99"/>
              </w:rPr>
              <w:t>2017</w:t>
            </w: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w w:val="84"/>
              </w:rPr>
              <w:t>2016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6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Fee Revenue and Other Income:</w:t>
            </w:r>
          </w:p>
        </w:tc>
        <w:tc>
          <w:tcPr>
            <w:tcW w:w="14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60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5880" w:type="dxa"/>
            <w:vAlign w:val="bottom"/>
            <w:gridSpan w:val="2"/>
          </w:tcPr>
          <w:p>
            <w:pPr>
              <w:spacing w:after="0"/>
              <w:rPr>
                <w:sz w:val="20"/>
                <w:szCs w:val="20"/>
                <w:color w:val="auto"/>
              </w:rPr>
            </w:pPr>
            <w:r>
              <w:rPr>
                <w:rFonts w:ascii="Arial" w:cs="Arial" w:eastAsia="Arial" w:hAnsi="Arial"/>
                <w:sz w:val="18"/>
                <w:szCs w:val="18"/>
                <w:color w:val="auto"/>
              </w:rPr>
              <w:t>Information services payment and processing revenue</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23,282</w:t>
            </w:r>
          </w:p>
        </w:tc>
        <w:tc>
          <w:tcPr>
            <w:tcW w:w="280" w:type="dxa"/>
            <w:vAlign w:val="bottom"/>
          </w:tcPr>
          <w:p>
            <w:pPr>
              <w:spacing w:after="0"/>
              <w:rPr>
                <w:sz w:val="20"/>
                <w:szCs w:val="20"/>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20,880</w:t>
            </w:r>
          </w:p>
        </w:tc>
        <w:tc>
          <w:tcPr>
            <w:tcW w:w="30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45,571</w:t>
            </w:r>
          </w:p>
        </w:tc>
        <w:tc>
          <w:tcPr>
            <w:tcW w:w="38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w w:val="94"/>
              </w:rPr>
              <w:t>40,425</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5860" w:type="dxa"/>
            <w:vAlign w:val="bottom"/>
            <w:shd w:val="clear" w:color="auto" w:fill="C0C0C0"/>
          </w:tcPr>
          <w:p>
            <w:pPr>
              <w:spacing w:after="0"/>
              <w:rPr>
                <w:sz w:val="20"/>
                <w:szCs w:val="20"/>
                <w:color w:val="auto"/>
              </w:rPr>
            </w:pPr>
            <w:r>
              <w:rPr>
                <w:rFonts w:ascii="Arial" w:cs="Arial" w:eastAsia="Arial" w:hAnsi="Arial"/>
                <w:sz w:val="18"/>
                <w:szCs w:val="18"/>
                <w:color w:val="auto"/>
              </w:rPr>
              <w:t>Bank service fees</w:t>
            </w:r>
          </w:p>
        </w:tc>
        <w:tc>
          <w:tcPr>
            <w:tcW w:w="14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389</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2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289</w:t>
            </w:r>
          </w:p>
        </w:tc>
        <w:tc>
          <w:tcPr>
            <w:tcW w:w="14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78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671</w:t>
            </w:r>
          </w:p>
        </w:tc>
        <w:tc>
          <w:tcPr>
            <w:tcW w:w="1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6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35"/>
        </w:trPr>
        <w:tc>
          <w:tcPr>
            <w:tcW w:w="5880" w:type="dxa"/>
            <w:vAlign w:val="bottom"/>
            <w:gridSpan w:val="2"/>
          </w:tcPr>
          <w:p>
            <w:pPr>
              <w:spacing w:after="0"/>
              <w:rPr>
                <w:sz w:val="20"/>
                <w:szCs w:val="20"/>
                <w:color w:val="auto"/>
              </w:rPr>
            </w:pPr>
            <w:r>
              <w:rPr>
                <w:rFonts w:ascii="Arial" w:cs="Arial" w:eastAsia="Arial" w:hAnsi="Arial"/>
                <w:sz w:val="18"/>
                <w:szCs w:val="18"/>
                <w:color w:val="auto"/>
              </w:rPr>
              <w:t>Gains on sales of securities</w:t>
            </w: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79</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5860" w:type="dxa"/>
            <w:vAlign w:val="bottom"/>
            <w:shd w:val="clear" w:color="auto" w:fill="C0C0C0"/>
          </w:tcPr>
          <w:p>
            <w:pPr>
              <w:spacing w:after="0"/>
              <w:rPr>
                <w:sz w:val="20"/>
                <w:szCs w:val="20"/>
                <w:color w:val="auto"/>
              </w:rPr>
            </w:pPr>
            <w:r>
              <w:rPr>
                <w:rFonts w:ascii="Arial" w:cs="Arial" w:eastAsia="Arial" w:hAnsi="Arial"/>
                <w:sz w:val="18"/>
                <w:szCs w:val="18"/>
                <w:color w:val="auto"/>
              </w:rPr>
              <w:t>Other</w:t>
            </w:r>
          </w:p>
        </w:tc>
        <w:tc>
          <w:tcPr>
            <w:tcW w:w="1440" w:type="dxa"/>
            <w:vAlign w:val="bottom"/>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spacing w:after="0"/>
              <w:rPr>
                <w:sz w:val="21"/>
                <w:szCs w:val="21"/>
                <w:color w:val="auto"/>
              </w:rPr>
            </w:pPr>
          </w:p>
        </w:tc>
        <w:tc>
          <w:tcPr>
            <w:tcW w:w="6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129</w:t>
            </w:r>
          </w:p>
        </w:tc>
        <w:tc>
          <w:tcPr>
            <w:tcW w:w="280" w:type="dxa"/>
            <w:vAlign w:val="bottom"/>
            <w:shd w:val="clear" w:color="auto" w:fill="C0C0C0"/>
          </w:tcPr>
          <w:p>
            <w:pPr>
              <w:spacing w:after="0"/>
              <w:rPr>
                <w:sz w:val="21"/>
                <w:szCs w:val="21"/>
                <w:color w:val="auto"/>
              </w:rPr>
            </w:pPr>
          </w:p>
        </w:tc>
        <w:tc>
          <w:tcPr>
            <w:tcW w:w="200" w:type="dxa"/>
            <w:vAlign w:val="bottom"/>
            <w:tcBorders>
              <w:bottom w:val="single" w:sz="8" w:color="auto"/>
            </w:tcBorders>
            <w:shd w:val="clear" w:color="auto" w:fill="C0C0C0"/>
          </w:tcPr>
          <w:p>
            <w:pPr>
              <w:spacing w:after="0"/>
              <w:rPr>
                <w:sz w:val="21"/>
                <w:szCs w:val="21"/>
                <w:color w:val="auto"/>
              </w:rPr>
            </w:pPr>
          </w:p>
        </w:tc>
        <w:tc>
          <w:tcPr>
            <w:tcW w:w="6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209</w:t>
            </w:r>
          </w:p>
        </w:tc>
        <w:tc>
          <w:tcPr>
            <w:tcW w:w="1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60" w:type="dxa"/>
            <w:vAlign w:val="bottom"/>
            <w:tcBorders>
              <w:bottom w:val="single" w:sz="8" w:color="auto"/>
            </w:tcBorders>
            <w:shd w:val="clear" w:color="auto" w:fill="C0C0C0"/>
          </w:tcPr>
          <w:p>
            <w:pPr>
              <w:spacing w:after="0"/>
              <w:rPr>
                <w:sz w:val="21"/>
                <w:szCs w:val="21"/>
                <w:color w:val="auto"/>
              </w:rPr>
            </w:pPr>
          </w:p>
        </w:tc>
        <w:tc>
          <w:tcPr>
            <w:tcW w:w="6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329</w:t>
            </w: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260" w:type="dxa"/>
            <w:vAlign w:val="bottom"/>
            <w:tcBorders>
              <w:bottom w:val="single" w:sz="8" w:color="auto"/>
            </w:tcBorders>
            <w:shd w:val="clear" w:color="auto" w:fill="C0C0C0"/>
          </w:tcPr>
          <w:p>
            <w:pPr>
              <w:spacing w:after="0"/>
              <w:rPr>
                <w:sz w:val="21"/>
                <w:szCs w:val="21"/>
                <w:color w:val="auto"/>
              </w:rPr>
            </w:pPr>
          </w:p>
        </w:tc>
        <w:tc>
          <w:tcPr>
            <w:tcW w:w="64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60" w:type="dxa"/>
            <w:vAlign w:val="bottom"/>
          </w:tcPr>
          <w:p>
            <w:pPr>
              <w:ind w:left="520"/>
              <w:spacing w:after="0"/>
              <w:rPr>
                <w:sz w:val="20"/>
                <w:szCs w:val="20"/>
                <w:color w:val="auto"/>
              </w:rPr>
            </w:pPr>
            <w:r>
              <w:rPr>
                <w:rFonts w:ascii="Arial" w:cs="Arial" w:eastAsia="Arial" w:hAnsi="Arial"/>
                <w:sz w:val="18"/>
                <w:szCs w:val="18"/>
                <w:color w:val="auto"/>
              </w:rPr>
              <w:t>Total fee revenue and other income</w:t>
            </w: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23,800</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21,457</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46,571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w w:val="94"/>
              </w:rPr>
              <w:t>41,962</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86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Interest Income:</w:t>
            </w:r>
          </w:p>
        </w:tc>
        <w:tc>
          <w:tcPr>
            <w:tcW w:w="14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60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5880" w:type="dxa"/>
            <w:vAlign w:val="bottom"/>
            <w:gridSpan w:val="2"/>
          </w:tcPr>
          <w:p>
            <w:pPr>
              <w:spacing w:after="0"/>
              <w:rPr>
                <w:sz w:val="20"/>
                <w:szCs w:val="20"/>
                <w:color w:val="auto"/>
              </w:rPr>
            </w:pPr>
            <w:r>
              <w:rPr>
                <w:rFonts w:ascii="Arial" w:cs="Arial" w:eastAsia="Arial" w:hAnsi="Arial"/>
                <w:sz w:val="18"/>
                <w:szCs w:val="18"/>
                <w:color w:val="auto"/>
              </w:rPr>
              <w:t>Interest and fees on loans</w:t>
            </w: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7,104</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7,316</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14,057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w w:val="94"/>
              </w:rPr>
              <w:t>14,447</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5860" w:type="dxa"/>
            <w:vAlign w:val="bottom"/>
            <w:shd w:val="clear" w:color="auto" w:fill="C0C0C0"/>
          </w:tcPr>
          <w:p>
            <w:pPr>
              <w:spacing w:after="0"/>
              <w:rPr>
                <w:sz w:val="20"/>
                <w:szCs w:val="20"/>
                <w:color w:val="auto"/>
              </w:rPr>
            </w:pPr>
            <w:r>
              <w:rPr>
                <w:rFonts w:ascii="Arial" w:cs="Arial" w:eastAsia="Arial" w:hAnsi="Arial"/>
                <w:sz w:val="18"/>
                <w:szCs w:val="18"/>
                <w:color w:val="auto"/>
              </w:rPr>
              <w:t>Interest and dividends on securities:</w:t>
            </w:r>
          </w:p>
        </w:tc>
        <w:tc>
          <w:tcPr>
            <w:tcW w:w="14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60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5860" w:type="dxa"/>
            <w:vAlign w:val="bottom"/>
          </w:tcPr>
          <w:p>
            <w:pPr>
              <w:ind w:left="520"/>
              <w:spacing w:after="0"/>
              <w:rPr>
                <w:sz w:val="20"/>
                <w:szCs w:val="20"/>
                <w:color w:val="auto"/>
              </w:rPr>
            </w:pPr>
            <w:r>
              <w:rPr>
                <w:rFonts w:ascii="Arial" w:cs="Arial" w:eastAsia="Arial" w:hAnsi="Arial"/>
                <w:sz w:val="18"/>
                <w:szCs w:val="18"/>
                <w:color w:val="auto"/>
              </w:rPr>
              <w:t>Taxable</w:t>
            </w: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84</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5860" w:type="dxa"/>
            <w:vAlign w:val="bottom"/>
            <w:shd w:val="clear" w:color="auto" w:fill="C0C0C0"/>
          </w:tcPr>
          <w:p>
            <w:pPr>
              <w:ind w:left="520"/>
              <w:spacing w:after="0"/>
              <w:rPr>
                <w:sz w:val="20"/>
                <w:szCs w:val="20"/>
                <w:color w:val="auto"/>
              </w:rPr>
            </w:pPr>
            <w:r>
              <w:rPr>
                <w:rFonts w:ascii="Arial" w:cs="Arial" w:eastAsia="Arial" w:hAnsi="Arial"/>
                <w:sz w:val="18"/>
                <w:szCs w:val="18"/>
                <w:color w:val="auto"/>
              </w:rPr>
              <w:t>Exempt from federal income taxes</w:t>
            </w:r>
          </w:p>
        </w:tc>
        <w:tc>
          <w:tcPr>
            <w:tcW w:w="14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2,659</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2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2,437</w:t>
            </w:r>
          </w:p>
        </w:tc>
        <w:tc>
          <w:tcPr>
            <w:tcW w:w="14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78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5,260</w:t>
            </w:r>
          </w:p>
        </w:tc>
        <w:tc>
          <w:tcPr>
            <w:tcW w:w="1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6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4,831</w:t>
            </w:r>
          </w:p>
        </w:tc>
        <w:tc>
          <w:tcPr>
            <w:tcW w:w="0" w:type="dxa"/>
            <w:vAlign w:val="bottom"/>
          </w:tcPr>
          <w:p>
            <w:pPr>
              <w:spacing w:after="0"/>
              <w:rPr>
                <w:sz w:val="1"/>
                <w:szCs w:val="1"/>
                <w:color w:val="auto"/>
              </w:rPr>
            </w:pPr>
          </w:p>
        </w:tc>
      </w:tr>
      <w:tr>
        <w:trPr>
          <w:trHeight w:val="237"/>
        </w:trPr>
        <w:tc>
          <w:tcPr>
            <w:tcW w:w="5880" w:type="dxa"/>
            <w:vAlign w:val="bottom"/>
            <w:gridSpan w:val="2"/>
          </w:tcPr>
          <w:p>
            <w:pPr>
              <w:spacing w:after="0"/>
              <w:rPr>
                <w:sz w:val="20"/>
                <w:szCs w:val="20"/>
                <w:color w:val="auto"/>
              </w:rPr>
            </w:pPr>
            <w:r>
              <w:rPr>
                <w:rFonts w:ascii="Arial" w:cs="Arial" w:eastAsia="Arial" w:hAnsi="Arial"/>
                <w:sz w:val="18"/>
                <w:szCs w:val="18"/>
                <w:color w:val="auto"/>
              </w:rPr>
              <w:t>Interest on federal funds sold and other short-term investments</w:t>
            </w: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485</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236</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853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860" w:type="dxa"/>
            <w:vAlign w:val="bottom"/>
            <w:tcBorders>
              <w:top w:val="single" w:sz="8" w:color="C0C0C0"/>
              <w:bottom w:val="single" w:sz="8" w:color="C0C0C0"/>
            </w:tcBorders>
            <w:shd w:val="clear" w:color="auto" w:fill="C0C0C0"/>
          </w:tcPr>
          <w:p>
            <w:pPr>
              <w:ind w:left="520"/>
              <w:spacing w:after="0"/>
              <w:rPr>
                <w:sz w:val="20"/>
                <w:szCs w:val="20"/>
                <w:color w:val="auto"/>
              </w:rPr>
            </w:pPr>
            <w:r>
              <w:rPr>
                <w:rFonts w:ascii="Arial" w:cs="Arial" w:eastAsia="Arial" w:hAnsi="Arial"/>
                <w:sz w:val="18"/>
                <w:szCs w:val="18"/>
                <w:color w:val="auto"/>
              </w:rPr>
              <w:t>Total interest income</w:t>
            </w:r>
          </w:p>
        </w:tc>
        <w:tc>
          <w:tcPr>
            <w:tcW w:w="1440" w:type="dxa"/>
            <w:vAlign w:val="bottom"/>
            <w:tcBorders>
              <w:top w:val="single" w:sz="8" w:color="C0C0C0"/>
              <w:bottom w:val="single" w:sz="8" w:color="C0C0C0"/>
            </w:tcBorders>
            <w:shd w:val="clear" w:color="auto" w:fill="C0C0C0"/>
          </w:tcPr>
          <w:p>
            <w:pPr>
              <w:spacing w:after="0"/>
              <w:rPr>
                <w:sz w:val="20"/>
                <w:szCs w:val="20"/>
                <w:color w:val="auto"/>
              </w:rPr>
            </w:pPr>
          </w:p>
        </w:tc>
        <w:tc>
          <w:tcPr>
            <w:tcW w:w="120" w:type="dxa"/>
            <w:vAlign w:val="bottom"/>
            <w:tcBorders>
              <w:top w:val="single" w:sz="8" w:color="auto"/>
              <w:bottom w:val="single" w:sz="8" w:color="auto"/>
            </w:tcBorders>
            <w:shd w:val="clear" w:color="auto" w:fill="C0C0C0"/>
          </w:tcPr>
          <w:p>
            <w:pPr>
              <w:spacing w:after="0"/>
              <w:rPr>
                <w:sz w:val="20"/>
                <w:szCs w:val="20"/>
                <w:color w:val="auto"/>
              </w:rPr>
            </w:pPr>
          </w:p>
        </w:tc>
        <w:tc>
          <w:tcPr>
            <w:tcW w:w="68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10,332</w:t>
            </w:r>
          </w:p>
        </w:tc>
        <w:tc>
          <w:tcPr>
            <w:tcW w:w="280" w:type="dxa"/>
            <w:vAlign w:val="bottom"/>
            <w:tcBorders>
              <w:top w:val="single" w:sz="8" w:color="C0C0C0"/>
              <w:bottom w:val="single" w:sz="8" w:color="C0C0C0"/>
            </w:tcBorders>
            <w:shd w:val="clear" w:color="auto" w:fill="C0C0C0"/>
          </w:tcPr>
          <w:p>
            <w:pPr>
              <w:spacing w:after="0"/>
              <w:rPr>
                <w:sz w:val="20"/>
                <w:szCs w:val="20"/>
                <w:color w:val="auto"/>
              </w:rPr>
            </w:pPr>
          </w:p>
        </w:tc>
        <w:tc>
          <w:tcPr>
            <w:tcW w:w="200" w:type="dxa"/>
            <w:vAlign w:val="bottom"/>
            <w:tcBorders>
              <w:top w:val="single" w:sz="8" w:color="auto"/>
              <w:bottom w:val="single" w:sz="8" w:color="auto"/>
            </w:tcBorders>
            <w:shd w:val="clear" w:color="auto" w:fill="C0C0C0"/>
          </w:tcPr>
          <w:p>
            <w:pPr>
              <w:spacing w:after="0"/>
              <w:rPr>
                <w:sz w:val="20"/>
                <w:szCs w:val="20"/>
                <w:color w:val="auto"/>
              </w:rPr>
            </w:pPr>
          </w:p>
        </w:tc>
        <w:tc>
          <w:tcPr>
            <w:tcW w:w="60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10,010</w:t>
            </w:r>
          </w:p>
        </w:tc>
        <w:tc>
          <w:tcPr>
            <w:tcW w:w="120" w:type="dxa"/>
            <w:vAlign w:val="bottom"/>
            <w:tcBorders>
              <w:top w:val="single" w:sz="8" w:color="C0C0C0"/>
              <w:bottom w:val="single" w:sz="8" w:color="C0C0C0"/>
            </w:tcBorders>
            <w:shd w:val="clear" w:color="auto" w:fill="C0C0C0"/>
          </w:tcPr>
          <w:p>
            <w:pPr>
              <w:spacing w:after="0"/>
              <w:rPr>
                <w:sz w:val="20"/>
                <w:szCs w:val="20"/>
                <w:color w:val="auto"/>
              </w:rPr>
            </w:pPr>
          </w:p>
        </w:tc>
        <w:tc>
          <w:tcPr>
            <w:tcW w:w="140" w:type="dxa"/>
            <w:vAlign w:val="bottom"/>
            <w:tcBorders>
              <w:top w:val="single" w:sz="8" w:color="C0C0C0"/>
              <w:bottom w:val="single" w:sz="8" w:color="C0C0C0"/>
            </w:tcBorders>
            <w:shd w:val="clear" w:color="auto" w:fill="C0C0C0"/>
          </w:tcPr>
          <w:p>
            <w:pPr>
              <w:spacing w:after="0"/>
              <w:rPr>
                <w:sz w:val="20"/>
                <w:szCs w:val="20"/>
                <w:color w:val="auto"/>
              </w:rPr>
            </w:pPr>
          </w:p>
        </w:tc>
        <w:tc>
          <w:tcPr>
            <w:tcW w:w="160" w:type="dxa"/>
            <w:vAlign w:val="bottom"/>
            <w:tcBorders>
              <w:top w:val="single" w:sz="8" w:color="auto"/>
              <w:bottom w:val="single" w:sz="8" w:color="auto"/>
            </w:tcBorders>
            <w:shd w:val="clear" w:color="auto" w:fill="C0C0C0"/>
          </w:tcPr>
          <w:p>
            <w:pPr>
              <w:spacing w:after="0"/>
              <w:rPr>
                <w:sz w:val="20"/>
                <w:szCs w:val="20"/>
                <w:color w:val="auto"/>
              </w:rPr>
            </w:pPr>
          </w:p>
        </w:tc>
        <w:tc>
          <w:tcPr>
            <w:tcW w:w="64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20,331</w:t>
            </w:r>
          </w:p>
        </w:tc>
        <w:tc>
          <w:tcPr>
            <w:tcW w:w="140" w:type="dxa"/>
            <w:vAlign w:val="bottom"/>
            <w:tcBorders>
              <w:top w:val="single" w:sz="8" w:color="C0C0C0"/>
              <w:bottom w:val="single" w:sz="8" w:color="C0C0C0"/>
            </w:tcBorders>
            <w:shd w:val="clear" w:color="auto" w:fill="C0C0C0"/>
          </w:tcPr>
          <w:p>
            <w:pPr>
              <w:spacing w:after="0"/>
              <w:rPr>
                <w:sz w:val="20"/>
                <w:szCs w:val="20"/>
                <w:color w:val="auto"/>
              </w:rPr>
            </w:pPr>
          </w:p>
        </w:tc>
        <w:tc>
          <w:tcPr>
            <w:tcW w:w="120" w:type="dxa"/>
            <w:vAlign w:val="bottom"/>
            <w:tcBorders>
              <w:top w:val="single" w:sz="8" w:color="C0C0C0"/>
              <w:bottom w:val="single" w:sz="8" w:color="C0C0C0"/>
            </w:tcBorders>
            <w:shd w:val="clear" w:color="auto" w:fill="C0C0C0"/>
          </w:tcPr>
          <w:p>
            <w:pPr>
              <w:spacing w:after="0"/>
              <w:rPr>
                <w:sz w:val="20"/>
                <w:szCs w:val="20"/>
                <w:color w:val="auto"/>
              </w:rPr>
            </w:pPr>
          </w:p>
        </w:tc>
        <w:tc>
          <w:tcPr>
            <w:tcW w:w="260" w:type="dxa"/>
            <w:vAlign w:val="bottom"/>
            <w:tcBorders>
              <w:top w:val="single" w:sz="8" w:color="auto"/>
              <w:bottom w:val="single" w:sz="8" w:color="auto"/>
            </w:tcBorders>
            <w:shd w:val="clear" w:color="auto" w:fill="C0C0C0"/>
          </w:tcPr>
          <w:p>
            <w:pPr>
              <w:spacing w:after="0"/>
              <w:rPr>
                <w:sz w:val="20"/>
                <w:szCs w:val="20"/>
                <w:color w:val="auto"/>
              </w:rPr>
            </w:pPr>
          </w:p>
        </w:tc>
        <w:tc>
          <w:tcPr>
            <w:tcW w:w="640" w:type="dxa"/>
            <w:vAlign w:val="bottom"/>
            <w:tcBorders>
              <w:top w:val="single" w:sz="8" w:color="auto"/>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w w:val="94"/>
              </w:rPr>
              <w:t>19,787</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860" w:type="dxa"/>
            <w:vAlign w:val="bottom"/>
            <w:shd w:val="clear" w:color="auto" w:fill="C0C0C0"/>
          </w:tcPr>
          <w:p>
            <w:pPr>
              <w:spacing w:after="0"/>
              <w:rPr>
                <w:sz w:val="19"/>
                <w:szCs w:val="19"/>
                <w:color w:val="auto"/>
              </w:rPr>
            </w:pPr>
          </w:p>
        </w:tc>
        <w:tc>
          <w:tcPr>
            <w:tcW w:w="144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680" w:type="dxa"/>
            <w:vAlign w:val="bottom"/>
            <w:shd w:val="clear" w:color="auto" w:fill="C0C0C0"/>
          </w:tcPr>
          <w:p>
            <w:pPr>
              <w:spacing w:after="0"/>
              <w:rPr>
                <w:sz w:val="19"/>
                <w:szCs w:val="19"/>
                <w:color w:val="auto"/>
              </w:rPr>
            </w:pPr>
          </w:p>
        </w:tc>
        <w:tc>
          <w:tcPr>
            <w:tcW w:w="28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60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64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640" w:type="dxa"/>
            <w:vAlign w:val="bottom"/>
            <w:shd w:val="clear" w:color="auto" w:fill="C0C0C0"/>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5860" w:type="dxa"/>
            <w:vAlign w:val="bottom"/>
          </w:tcPr>
          <w:p>
            <w:pPr>
              <w:spacing w:after="0"/>
              <w:rPr>
                <w:sz w:val="20"/>
                <w:szCs w:val="20"/>
                <w:color w:val="auto"/>
              </w:rPr>
            </w:pPr>
            <w:r>
              <w:rPr>
                <w:rFonts w:ascii="Arial" w:cs="Arial" w:eastAsia="Arial" w:hAnsi="Arial"/>
                <w:sz w:val="18"/>
                <w:szCs w:val="18"/>
                <w:b w:val="1"/>
                <w:bCs w:val="1"/>
                <w:color w:val="auto"/>
              </w:rPr>
              <w:t>Interest Expense:</w:t>
            </w: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860" w:type="dxa"/>
            <w:vAlign w:val="bottom"/>
            <w:shd w:val="clear" w:color="auto" w:fill="C0C0C0"/>
          </w:tcPr>
          <w:p>
            <w:pPr>
              <w:spacing w:after="0"/>
              <w:rPr>
                <w:sz w:val="20"/>
                <w:szCs w:val="20"/>
                <w:color w:val="auto"/>
              </w:rPr>
            </w:pPr>
            <w:r>
              <w:rPr>
                <w:rFonts w:ascii="Arial" w:cs="Arial" w:eastAsia="Arial" w:hAnsi="Arial"/>
                <w:sz w:val="18"/>
                <w:szCs w:val="18"/>
                <w:color w:val="auto"/>
              </w:rPr>
              <w:t>Interest on deposits</w:t>
            </w:r>
          </w:p>
        </w:tc>
        <w:tc>
          <w:tcPr>
            <w:tcW w:w="1440" w:type="dxa"/>
            <w:vAlign w:val="bottom"/>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spacing w:after="0"/>
              <w:rPr>
                <w:sz w:val="21"/>
                <w:szCs w:val="21"/>
                <w:color w:val="auto"/>
              </w:rPr>
            </w:pPr>
          </w:p>
        </w:tc>
        <w:tc>
          <w:tcPr>
            <w:tcW w:w="6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470</w:t>
            </w:r>
          </w:p>
        </w:tc>
        <w:tc>
          <w:tcPr>
            <w:tcW w:w="280" w:type="dxa"/>
            <w:vAlign w:val="bottom"/>
            <w:shd w:val="clear" w:color="auto" w:fill="C0C0C0"/>
          </w:tcPr>
          <w:p>
            <w:pPr>
              <w:spacing w:after="0"/>
              <w:rPr>
                <w:sz w:val="21"/>
                <w:szCs w:val="21"/>
                <w:color w:val="auto"/>
              </w:rPr>
            </w:pPr>
          </w:p>
        </w:tc>
        <w:tc>
          <w:tcPr>
            <w:tcW w:w="200" w:type="dxa"/>
            <w:vAlign w:val="bottom"/>
            <w:tcBorders>
              <w:bottom w:val="single" w:sz="8" w:color="auto"/>
            </w:tcBorders>
            <w:shd w:val="clear" w:color="auto" w:fill="C0C0C0"/>
          </w:tcPr>
          <w:p>
            <w:pPr>
              <w:spacing w:after="0"/>
              <w:rPr>
                <w:sz w:val="21"/>
                <w:szCs w:val="21"/>
                <w:color w:val="auto"/>
              </w:rPr>
            </w:pPr>
          </w:p>
        </w:tc>
        <w:tc>
          <w:tcPr>
            <w:tcW w:w="6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504</w:t>
            </w:r>
          </w:p>
        </w:tc>
        <w:tc>
          <w:tcPr>
            <w:tcW w:w="1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60" w:type="dxa"/>
            <w:vAlign w:val="bottom"/>
            <w:tcBorders>
              <w:bottom w:val="single" w:sz="8" w:color="auto"/>
            </w:tcBorders>
            <w:shd w:val="clear" w:color="auto" w:fill="C0C0C0"/>
          </w:tcPr>
          <w:p>
            <w:pPr>
              <w:spacing w:after="0"/>
              <w:rPr>
                <w:sz w:val="21"/>
                <w:szCs w:val="21"/>
                <w:color w:val="auto"/>
              </w:rPr>
            </w:pPr>
          </w:p>
        </w:tc>
        <w:tc>
          <w:tcPr>
            <w:tcW w:w="6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950</w:t>
            </w: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260" w:type="dxa"/>
            <w:vAlign w:val="bottom"/>
            <w:tcBorders>
              <w:bottom w:val="single" w:sz="8" w:color="auto"/>
            </w:tcBorders>
            <w:shd w:val="clear" w:color="auto" w:fill="C0C0C0"/>
          </w:tcPr>
          <w:p>
            <w:pPr>
              <w:spacing w:after="0"/>
              <w:rPr>
                <w:sz w:val="21"/>
                <w:szCs w:val="21"/>
                <w:color w:val="auto"/>
              </w:rPr>
            </w:pPr>
          </w:p>
        </w:tc>
        <w:tc>
          <w:tcPr>
            <w:tcW w:w="64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860" w:type="dxa"/>
            <w:vAlign w:val="bottom"/>
          </w:tcPr>
          <w:p>
            <w:pPr>
              <w:ind w:left="800"/>
              <w:spacing w:after="0"/>
              <w:rPr>
                <w:sz w:val="20"/>
                <w:szCs w:val="20"/>
                <w:color w:val="auto"/>
              </w:rPr>
            </w:pPr>
            <w:r>
              <w:rPr>
                <w:rFonts w:ascii="Arial" w:cs="Arial" w:eastAsia="Arial" w:hAnsi="Arial"/>
                <w:sz w:val="18"/>
                <w:szCs w:val="18"/>
                <w:color w:val="auto"/>
              </w:rPr>
              <w:t>Net interest income</w:t>
            </w: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9,862</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9,506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19,381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w w:val="94"/>
              </w:rPr>
              <w:t>18,770</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5860" w:type="dxa"/>
            <w:vAlign w:val="bottom"/>
            <w:shd w:val="clear" w:color="auto" w:fill="C0C0C0"/>
          </w:tcPr>
          <w:p>
            <w:pPr>
              <w:spacing w:after="0"/>
              <w:rPr>
                <w:sz w:val="20"/>
                <w:szCs w:val="20"/>
                <w:color w:val="auto"/>
              </w:rPr>
            </w:pPr>
            <w:r>
              <w:rPr>
                <w:rFonts w:ascii="Arial" w:cs="Arial" w:eastAsia="Arial" w:hAnsi="Arial"/>
                <w:sz w:val="18"/>
                <w:szCs w:val="18"/>
                <w:color w:val="auto"/>
              </w:rPr>
              <w:t>Provision for loan losses</w:t>
            </w:r>
          </w:p>
        </w:tc>
        <w:tc>
          <w:tcPr>
            <w:tcW w:w="14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960" w:type="dxa"/>
            <w:vAlign w:val="bottom"/>
            <w:gridSpan w:val="2"/>
            <w:shd w:val="clear" w:color="auto" w:fill="C0C0C0"/>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0C0C0"/>
          </w:tcPr>
          <w:p>
            <w:pPr>
              <w:spacing w:after="0"/>
              <w:rPr>
                <w:sz w:val="21"/>
                <w:szCs w:val="21"/>
                <w:color w:val="auto"/>
              </w:rPr>
            </w:pPr>
          </w:p>
        </w:tc>
        <w:tc>
          <w:tcPr>
            <w:tcW w:w="72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78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9"/>
              </w:rPr>
              <w:t>(1,000 )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60" w:type="dxa"/>
            <w:vAlign w:val="bottom"/>
            <w:tcBorders>
              <w:bottom w:val="single" w:sz="8" w:color="C0C0C0"/>
            </w:tcBorders>
          </w:tcPr>
          <w:p>
            <w:pPr>
              <w:ind w:left="800"/>
              <w:spacing w:after="0"/>
              <w:rPr>
                <w:sz w:val="20"/>
                <w:szCs w:val="20"/>
                <w:color w:val="auto"/>
              </w:rPr>
            </w:pPr>
            <w:r>
              <w:rPr>
                <w:rFonts w:ascii="Arial" w:cs="Arial" w:eastAsia="Arial" w:hAnsi="Arial"/>
                <w:sz w:val="18"/>
                <w:szCs w:val="18"/>
                <w:color w:val="auto"/>
              </w:rPr>
              <w:t>Net interest income after provision for loan losses</w:t>
            </w:r>
          </w:p>
        </w:tc>
        <w:tc>
          <w:tcPr>
            <w:tcW w:w="1440" w:type="dxa"/>
            <w:vAlign w:val="bottom"/>
            <w:tcBorders>
              <w:bottom w:val="single" w:sz="8" w:color="C0C0C0"/>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9,862</w:t>
            </w:r>
          </w:p>
        </w:tc>
        <w:tc>
          <w:tcPr>
            <w:tcW w:w="280" w:type="dxa"/>
            <w:vAlign w:val="bottom"/>
            <w:tcBorders>
              <w:bottom w:val="single" w:sz="8" w:color="C0C0C0"/>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9,506</w:t>
            </w:r>
          </w:p>
        </w:tc>
        <w:tc>
          <w:tcPr>
            <w:tcW w:w="120" w:type="dxa"/>
            <w:vAlign w:val="bottom"/>
            <w:tcBorders>
              <w:bottom w:val="single" w:sz="8" w:color="C0C0C0"/>
            </w:tcBorders>
          </w:tcPr>
          <w:p>
            <w:pPr>
              <w:spacing w:after="0"/>
              <w:rPr>
                <w:sz w:val="20"/>
                <w:szCs w:val="20"/>
                <w:color w:val="auto"/>
              </w:rPr>
            </w:pPr>
          </w:p>
        </w:tc>
        <w:tc>
          <w:tcPr>
            <w:tcW w:w="140" w:type="dxa"/>
            <w:vAlign w:val="bottom"/>
            <w:tcBorders>
              <w:bottom w:val="single" w:sz="8" w:color="C0C0C0"/>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19,381</w:t>
            </w:r>
          </w:p>
        </w:tc>
        <w:tc>
          <w:tcPr>
            <w:tcW w:w="140" w:type="dxa"/>
            <w:vAlign w:val="bottom"/>
            <w:tcBorders>
              <w:bottom w:val="single" w:sz="8" w:color="C0C0C0"/>
            </w:tcBorders>
          </w:tcPr>
          <w:p>
            <w:pPr>
              <w:spacing w:after="0"/>
              <w:rPr>
                <w:sz w:val="20"/>
                <w:szCs w:val="20"/>
                <w:color w:val="auto"/>
              </w:rPr>
            </w:pPr>
          </w:p>
        </w:tc>
        <w:tc>
          <w:tcPr>
            <w:tcW w:w="120" w:type="dxa"/>
            <w:vAlign w:val="bottom"/>
            <w:tcBorders>
              <w:bottom w:val="single" w:sz="8" w:color="C0C0C0"/>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94"/>
              </w:rPr>
              <w:t>19,770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860" w:type="dxa"/>
            <w:vAlign w:val="bottom"/>
            <w:shd w:val="clear" w:color="auto" w:fill="C0C0C0"/>
          </w:tcPr>
          <w:p>
            <w:pPr>
              <w:ind w:left="800"/>
              <w:spacing w:after="0"/>
              <w:rPr>
                <w:sz w:val="20"/>
                <w:szCs w:val="20"/>
                <w:color w:val="auto"/>
              </w:rPr>
            </w:pPr>
            <w:r>
              <w:rPr>
                <w:rFonts w:ascii="Arial" w:cs="Arial" w:eastAsia="Arial" w:hAnsi="Arial"/>
                <w:sz w:val="18"/>
                <w:szCs w:val="18"/>
                <w:color w:val="auto"/>
              </w:rPr>
              <w:t>Total net revenue</w:t>
            </w:r>
          </w:p>
        </w:tc>
        <w:tc>
          <w:tcPr>
            <w:tcW w:w="144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33,662</w:t>
            </w:r>
          </w:p>
        </w:tc>
        <w:tc>
          <w:tcPr>
            <w:tcW w:w="28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72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30,963</w:t>
            </w:r>
          </w:p>
        </w:tc>
        <w:tc>
          <w:tcPr>
            <w:tcW w:w="14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78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65,952</w:t>
            </w:r>
          </w:p>
        </w:tc>
        <w:tc>
          <w:tcPr>
            <w:tcW w:w="12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6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w w:val="94"/>
              </w:rPr>
              <w:t>61,732</w:t>
            </w:r>
          </w:p>
        </w:tc>
        <w:tc>
          <w:tcPr>
            <w:tcW w:w="0" w:type="dxa"/>
            <w:vAlign w:val="bottom"/>
          </w:tcPr>
          <w:p>
            <w:pPr>
              <w:spacing w:after="0"/>
              <w:rPr>
                <w:sz w:val="1"/>
                <w:szCs w:val="1"/>
                <w:color w:val="auto"/>
              </w:rPr>
            </w:pPr>
          </w:p>
        </w:tc>
      </w:tr>
      <w:tr>
        <w:trPr>
          <w:trHeight w:val="259"/>
        </w:trPr>
        <w:tc>
          <w:tcPr>
            <w:tcW w:w="20" w:type="dxa"/>
            <w:vAlign w:val="bottom"/>
            <w:vMerge w:val="restart"/>
          </w:tcPr>
          <w:p>
            <w:pPr>
              <w:spacing w:after="0"/>
              <w:rPr>
                <w:sz w:val="22"/>
                <w:szCs w:val="22"/>
                <w:color w:val="auto"/>
              </w:rPr>
            </w:pPr>
          </w:p>
        </w:tc>
        <w:tc>
          <w:tcPr>
            <w:tcW w:w="5860" w:type="dxa"/>
            <w:vAlign w:val="bottom"/>
            <w:shd w:val="clear" w:color="auto" w:fill="C0C0C0"/>
          </w:tcPr>
          <w:p>
            <w:pPr>
              <w:spacing w:after="0"/>
              <w:rPr>
                <w:sz w:val="22"/>
                <w:szCs w:val="22"/>
                <w:color w:val="auto"/>
              </w:rPr>
            </w:pPr>
          </w:p>
        </w:tc>
        <w:tc>
          <w:tcPr>
            <w:tcW w:w="1440" w:type="dxa"/>
            <w:vAlign w:val="bottom"/>
            <w:shd w:val="clear" w:color="auto" w:fill="C0C0C0"/>
          </w:tcPr>
          <w:p>
            <w:pPr>
              <w:spacing w:after="0"/>
              <w:rPr>
                <w:sz w:val="22"/>
                <w:szCs w:val="22"/>
                <w:color w:val="auto"/>
              </w:rPr>
            </w:pPr>
          </w:p>
        </w:tc>
        <w:tc>
          <w:tcPr>
            <w:tcW w:w="120" w:type="dxa"/>
            <w:vAlign w:val="bottom"/>
            <w:shd w:val="clear" w:color="auto" w:fill="C0C0C0"/>
          </w:tcPr>
          <w:p>
            <w:pPr>
              <w:spacing w:after="0"/>
              <w:rPr>
                <w:sz w:val="22"/>
                <w:szCs w:val="22"/>
                <w:color w:val="auto"/>
              </w:rPr>
            </w:pPr>
          </w:p>
        </w:tc>
        <w:tc>
          <w:tcPr>
            <w:tcW w:w="680" w:type="dxa"/>
            <w:vAlign w:val="bottom"/>
            <w:shd w:val="clear" w:color="auto" w:fill="C0C0C0"/>
          </w:tcPr>
          <w:p>
            <w:pPr>
              <w:spacing w:after="0"/>
              <w:rPr>
                <w:sz w:val="22"/>
                <w:szCs w:val="22"/>
                <w:color w:val="auto"/>
              </w:rPr>
            </w:pPr>
          </w:p>
        </w:tc>
        <w:tc>
          <w:tcPr>
            <w:tcW w:w="280" w:type="dxa"/>
            <w:vAlign w:val="bottom"/>
            <w:shd w:val="clear" w:color="auto" w:fill="C0C0C0"/>
          </w:tcPr>
          <w:p>
            <w:pPr>
              <w:spacing w:after="0"/>
              <w:rPr>
                <w:sz w:val="22"/>
                <w:szCs w:val="22"/>
                <w:color w:val="auto"/>
              </w:rPr>
            </w:pPr>
          </w:p>
        </w:tc>
        <w:tc>
          <w:tcPr>
            <w:tcW w:w="200" w:type="dxa"/>
            <w:vAlign w:val="bottom"/>
            <w:shd w:val="clear" w:color="auto" w:fill="C0C0C0"/>
          </w:tcPr>
          <w:p>
            <w:pPr>
              <w:spacing w:after="0"/>
              <w:rPr>
                <w:sz w:val="22"/>
                <w:szCs w:val="22"/>
                <w:color w:val="auto"/>
              </w:rPr>
            </w:pPr>
          </w:p>
        </w:tc>
        <w:tc>
          <w:tcPr>
            <w:tcW w:w="600" w:type="dxa"/>
            <w:vAlign w:val="bottom"/>
            <w:shd w:val="clear" w:color="auto" w:fill="C0C0C0"/>
          </w:tcPr>
          <w:p>
            <w:pPr>
              <w:spacing w:after="0"/>
              <w:rPr>
                <w:sz w:val="22"/>
                <w:szCs w:val="22"/>
                <w:color w:val="auto"/>
              </w:rPr>
            </w:pPr>
          </w:p>
        </w:tc>
        <w:tc>
          <w:tcPr>
            <w:tcW w:w="120" w:type="dxa"/>
            <w:vAlign w:val="bottom"/>
            <w:shd w:val="clear" w:color="auto" w:fill="C0C0C0"/>
          </w:tcPr>
          <w:p>
            <w:pPr>
              <w:spacing w:after="0"/>
              <w:rPr>
                <w:sz w:val="22"/>
                <w:szCs w:val="22"/>
                <w:color w:val="auto"/>
              </w:rPr>
            </w:pPr>
          </w:p>
        </w:tc>
        <w:tc>
          <w:tcPr>
            <w:tcW w:w="140" w:type="dxa"/>
            <w:vAlign w:val="bottom"/>
            <w:shd w:val="clear" w:color="auto" w:fill="C0C0C0"/>
          </w:tcPr>
          <w:p>
            <w:pPr>
              <w:spacing w:after="0"/>
              <w:rPr>
                <w:sz w:val="22"/>
                <w:szCs w:val="22"/>
                <w:color w:val="auto"/>
              </w:rPr>
            </w:pPr>
          </w:p>
        </w:tc>
        <w:tc>
          <w:tcPr>
            <w:tcW w:w="160" w:type="dxa"/>
            <w:vAlign w:val="bottom"/>
            <w:shd w:val="clear" w:color="auto" w:fill="C0C0C0"/>
          </w:tcPr>
          <w:p>
            <w:pPr>
              <w:spacing w:after="0"/>
              <w:rPr>
                <w:sz w:val="22"/>
                <w:szCs w:val="22"/>
                <w:color w:val="auto"/>
              </w:rPr>
            </w:pPr>
          </w:p>
        </w:tc>
        <w:tc>
          <w:tcPr>
            <w:tcW w:w="640" w:type="dxa"/>
            <w:vAlign w:val="bottom"/>
            <w:shd w:val="clear" w:color="auto" w:fill="C0C0C0"/>
          </w:tcPr>
          <w:p>
            <w:pPr>
              <w:spacing w:after="0"/>
              <w:rPr>
                <w:sz w:val="22"/>
                <w:szCs w:val="22"/>
                <w:color w:val="auto"/>
              </w:rPr>
            </w:pPr>
          </w:p>
        </w:tc>
        <w:tc>
          <w:tcPr>
            <w:tcW w:w="140" w:type="dxa"/>
            <w:vAlign w:val="bottom"/>
            <w:shd w:val="clear" w:color="auto" w:fill="C0C0C0"/>
          </w:tcPr>
          <w:p>
            <w:pPr>
              <w:spacing w:after="0"/>
              <w:rPr>
                <w:sz w:val="22"/>
                <w:szCs w:val="22"/>
                <w:color w:val="auto"/>
              </w:rPr>
            </w:pPr>
          </w:p>
        </w:tc>
        <w:tc>
          <w:tcPr>
            <w:tcW w:w="120" w:type="dxa"/>
            <w:vAlign w:val="bottom"/>
            <w:shd w:val="clear" w:color="auto" w:fill="C0C0C0"/>
          </w:tcPr>
          <w:p>
            <w:pPr>
              <w:spacing w:after="0"/>
              <w:rPr>
                <w:sz w:val="22"/>
                <w:szCs w:val="22"/>
                <w:color w:val="auto"/>
              </w:rPr>
            </w:pPr>
          </w:p>
        </w:tc>
        <w:tc>
          <w:tcPr>
            <w:tcW w:w="260" w:type="dxa"/>
            <w:vAlign w:val="bottom"/>
            <w:shd w:val="clear" w:color="auto" w:fill="C0C0C0"/>
          </w:tcPr>
          <w:p>
            <w:pPr>
              <w:spacing w:after="0"/>
              <w:rPr>
                <w:sz w:val="22"/>
                <w:szCs w:val="22"/>
                <w:color w:val="auto"/>
              </w:rPr>
            </w:pPr>
          </w:p>
        </w:tc>
        <w:tc>
          <w:tcPr>
            <w:tcW w:w="640" w:type="dxa"/>
            <w:vAlign w:val="bottom"/>
            <w:shd w:val="clear" w:color="auto" w:fill="C0C0C0"/>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5860" w:type="dxa"/>
            <w:vAlign w:val="bottom"/>
          </w:tcPr>
          <w:p>
            <w:pPr>
              <w:spacing w:after="0"/>
              <w:rPr>
                <w:sz w:val="20"/>
                <w:szCs w:val="20"/>
                <w:color w:val="auto"/>
              </w:rPr>
            </w:pPr>
            <w:r>
              <w:rPr>
                <w:rFonts w:ascii="Arial" w:cs="Arial" w:eastAsia="Arial" w:hAnsi="Arial"/>
                <w:sz w:val="18"/>
                <w:szCs w:val="18"/>
                <w:b w:val="1"/>
                <w:bCs w:val="1"/>
                <w:color w:val="auto"/>
              </w:rPr>
              <w:t>Operating Expense:</w:t>
            </w: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860" w:type="dxa"/>
            <w:vAlign w:val="bottom"/>
            <w:shd w:val="clear" w:color="auto" w:fill="C0C0C0"/>
          </w:tcPr>
          <w:p>
            <w:pPr>
              <w:spacing w:after="0"/>
              <w:rPr>
                <w:sz w:val="20"/>
                <w:szCs w:val="20"/>
                <w:color w:val="auto"/>
              </w:rPr>
            </w:pPr>
            <w:r>
              <w:rPr>
                <w:rFonts w:ascii="Arial" w:cs="Arial" w:eastAsia="Arial" w:hAnsi="Arial"/>
                <w:sz w:val="18"/>
                <w:szCs w:val="18"/>
                <w:color w:val="auto"/>
              </w:rPr>
              <w:t>Personnel</w:t>
            </w:r>
          </w:p>
        </w:tc>
        <w:tc>
          <w:tcPr>
            <w:tcW w:w="14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19,162</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2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18,102</w:t>
            </w:r>
          </w:p>
        </w:tc>
        <w:tc>
          <w:tcPr>
            <w:tcW w:w="14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78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37,961</w:t>
            </w:r>
          </w:p>
        </w:tc>
        <w:tc>
          <w:tcPr>
            <w:tcW w:w="1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6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w w:val="94"/>
              </w:rPr>
              <w:t>35,948</w:t>
            </w:r>
          </w:p>
        </w:tc>
        <w:tc>
          <w:tcPr>
            <w:tcW w:w="0" w:type="dxa"/>
            <w:vAlign w:val="bottom"/>
          </w:tcPr>
          <w:p>
            <w:pPr>
              <w:spacing w:after="0"/>
              <w:rPr>
                <w:sz w:val="1"/>
                <w:szCs w:val="1"/>
                <w:color w:val="auto"/>
              </w:rPr>
            </w:pPr>
          </w:p>
        </w:tc>
      </w:tr>
      <w:tr>
        <w:trPr>
          <w:trHeight w:val="235"/>
        </w:trPr>
        <w:tc>
          <w:tcPr>
            <w:tcW w:w="5880" w:type="dxa"/>
            <w:vAlign w:val="bottom"/>
            <w:gridSpan w:val="2"/>
          </w:tcPr>
          <w:p>
            <w:pPr>
              <w:spacing w:after="0"/>
              <w:rPr>
                <w:sz w:val="20"/>
                <w:szCs w:val="20"/>
                <w:color w:val="auto"/>
              </w:rPr>
            </w:pPr>
            <w:r>
              <w:rPr>
                <w:rFonts w:ascii="Arial" w:cs="Arial" w:eastAsia="Arial" w:hAnsi="Arial"/>
                <w:sz w:val="18"/>
                <w:szCs w:val="18"/>
                <w:color w:val="auto"/>
              </w:rPr>
              <w:t>Occupancy</w:t>
            </w: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889</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866</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1,731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1,700</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5860" w:type="dxa"/>
            <w:vAlign w:val="bottom"/>
            <w:shd w:val="clear" w:color="auto" w:fill="C0C0C0"/>
          </w:tcPr>
          <w:p>
            <w:pPr>
              <w:spacing w:after="0"/>
              <w:rPr>
                <w:sz w:val="20"/>
                <w:szCs w:val="20"/>
                <w:color w:val="auto"/>
              </w:rPr>
            </w:pPr>
            <w:r>
              <w:rPr>
                <w:rFonts w:ascii="Arial" w:cs="Arial" w:eastAsia="Arial" w:hAnsi="Arial"/>
                <w:sz w:val="18"/>
                <w:szCs w:val="18"/>
                <w:color w:val="auto"/>
              </w:rPr>
              <w:t>Equipment</w:t>
            </w:r>
          </w:p>
        </w:tc>
        <w:tc>
          <w:tcPr>
            <w:tcW w:w="14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1,200</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2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1,110</w:t>
            </w:r>
          </w:p>
        </w:tc>
        <w:tc>
          <w:tcPr>
            <w:tcW w:w="14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78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2,504</w:t>
            </w:r>
          </w:p>
        </w:tc>
        <w:tc>
          <w:tcPr>
            <w:tcW w:w="1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6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2,165</w:t>
            </w:r>
          </w:p>
        </w:tc>
        <w:tc>
          <w:tcPr>
            <w:tcW w:w="0" w:type="dxa"/>
            <w:vAlign w:val="bottom"/>
          </w:tcPr>
          <w:p>
            <w:pPr>
              <w:spacing w:after="0"/>
              <w:rPr>
                <w:sz w:val="1"/>
                <w:szCs w:val="1"/>
                <w:color w:val="auto"/>
              </w:rPr>
            </w:pPr>
          </w:p>
        </w:tc>
      </w:tr>
      <w:tr>
        <w:trPr>
          <w:trHeight w:val="235"/>
        </w:trPr>
        <w:tc>
          <w:tcPr>
            <w:tcW w:w="5880" w:type="dxa"/>
            <w:vAlign w:val="bottom"/>
            <w:gridSpan w:val="2"/>
          </w:tcPr>
          <w:p>
            <w:pPr>
              <w:spacing w:after="0"/>
              <w:rPr>
                <w:sz w:val="20"/>
                <w:szCs w:val="20"/>
                <w:color w:val="auto"/>
              </w:rPr>
            </w:pPr>
            <w:r>
              <w:rPr>
                <w:rFonts w:ascii="Arial" w:cs="Arial" w:eastAsia="Arial" w:hAnsi="Arial"/>
                <w:sz w:val="18"/>
                <w:szCs w:val="18"/>
                <w:color w:val="auto"/>
              </w:rPr>
              <w:t>Amortization of intangible assets</w:t>
            </w: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108</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5860" w:type="dxa"/>
            <w:vAlign w:val="bottom"/>
            <w:shd w:val="clear" w:color="auto" w:fill="C0C0C0"/>
          </w:tcPr>
          <w:p>
            <w:pPr>
              <w:spacing w:after="0"/>
              <w:rPr>
                <w:sz w:val="20"/>
                <w:szCs w:val="20"/>
                <w:color w:val="auto"/>
              </w:rPr>
            </w:pPr>
            <w:r>
              <w:rPr>
                <w:rFonts w:ascii="Arial" w:cs="Arial" w:eastAsia="Arial" w:hAnsi="Arial"/>
                <w:sz w:val="18"/>
                <w:szCs w:val="18"/>
                <w:color w:val="auto"/>
              </w:rPr>
              <w:t>Other operating expense</w:t>
            </w:r>
          </w:p>
        </w:tc>
        <w:tc>
          <w:tcPr>
            <w:tcW w:w="1440" w:type="dxa"/>
            <w:vAlign w:val="bottom"/>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spacing w:after="0"/>
              <w:rPr>
                <w:sz w:val="21"/>
                <w:szCs w:val="21"/>
                <w:color w:val="auto"/>
              </w:rPr>
            </w:pPr>
          </w:p>
        </w:tc>
        <w:tc>
          <w:tcPr>
            <w:tcW w:w="6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3,542</w:t>
            </w:r>
          </w:p>
        </w:tc>
        <w:tc>
          <w:tcPr>
            <w:tcW w:w="280" w:type="dxa"/>
            <w:vAlign w:val="bottom"/>
            <w:shd w:val="clear" w:color="auto" w:fill="C0C0C0"/>
          </w:tcPr>
          <w:p>
            <w:pPr>
              <w:spacing w:after="0"/>
              <w:rPr>
                <w:sz w:val="21"/>
                <w:szCs w:val="21"/>
                <w:color w:val="auto"/>
              </w:rPr>
            </w:pPr>
          </w:p>
        </w:tc>
        <w:tc>
          <w:tcPr>
            <w:tcW w:w="200" w:type="dxa"/>
            <w:vAlign w:val="bottom"/>
            <w:tcBorders>
              <w:bottom w:val="single" w:sz="8" w:color="auto"/>
            </w:tcBorders>
            <w:shd w:val="clear" w:color="auto" w:fill="C0C0C0"/>
          </w:tcPr>
          <w:p>
            <w:pPr>
              <w:spacing w:after="0"/>
              <w:rPr>
                <w:sz w:val="21"/>
                <w:szCs w:val="21"/>
                <w:color w:val="auto"/>
              </w:rPr>
            </w:pPr>
          </w:p>
        </w:tc>
        <w:tc>
          <w:tcPr>
            <w:tcW w:w="6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2,879</w:t>
            </w:r>
          </w:p>
        </w:tc>
        <w:tc>
          <w:tcPr>
            <w:tcW w:w="1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60" w:type="dxa"/>
            <w:vAlign w:val="bottom"/>
            <w:tcBorders>
              <w:bottom w:val="single" w:sz="8" w:color="auto"/>
            </w:tcBorders>
            <w:shd w:val="clear" w:color="auto" w:fill="C0C0C0"/>
          </w:tcPr>
          <w:p>
            <w:pPr>
              <w:spacing w:after="0"/>
              <w:rPr>
                <w:sz w:val="21"/>
                <w:szCs w:val="21"/>
                <w:color w:val="auto"/>
              </w:rPr>
            </w:pPr>
          </w:p>
        </w:tc>
        <w:tc>
          <w:tcPr>
            <w:tcW w:w="6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6,816</w:t>
            </w: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260" w:type="dxa"/>
            <w:vAlign w:val="bottom"/>
            <w:tcBorders>
              <w:bottom w:val="single" w:sz="8" w:color="auto"/>
            </w:tcBorders>
            <w:shd w:val="clear" w:color="auto" w:fill="C0C0C0"/>
          </w:tcPr>
          <w:p>
            <w:pPr>
              <w:spacing w:after="0"/>
              <w:rPr>
                <w:sz w:val="21"/>
                <w:szCs w:val="21"/>
                <w:color w:val="auto"/>
              </w:rPr>
            </w:pPr>
          </w:p>
        </w:tc>
        <w:tc>
          <w:tcPr>
            <w:tcW w:w="64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5,958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60" w:type="dxa"/>
            <w:vAlign w:val="bottom"/>
            <w:tcBorders>
              <w:bottom w:val="single" w:sz="8" w:color="C0C0C0"/>
            </w:tcBorders>
          </w:tcPr>
          <w:p>
            <w:pPr>
              <w:ind w:left="520"/>
              <w:spacing w:after="0"/>
              <w:rPr>
                <w:sz w:val="20"/>
                <w:szCs w:val="20"/>
                <w:color w:val="auto"/>
              </w:rPr>
            </w:pPr>
            <w:r>
              <w:rPr>
                <w:rFonts w:ascii="Arial" w:cs="Arial" w:eastAsia="Arial" w:hAnsi="Arial"/>
                <w:sz w:val="18"/>
                <w:szCs w:val="18"/>
                <w:color w:val="auto"/>
              </w:rPr>
              <w:t>Total operating expense</w:t>
            </w:r>
          </w:p>
        </w:tc>
        <w:tc>
          <w:tcPr>
            <w:tcW w:w="1440" w:type="dxa"/>
            <w:vAlign w:val="bottom"/>
            <w:tcBorders>
              <w:bottom w:val="single" w:sz="8" w:color="C0C0C0"/>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24,901</w:t>
            </w:r>
          </w:p>
        </w:tc>
        <w:tc>
          <w:tcPr>
            <w:tcW w:w="280" w:type="dxa"/>
            <w:vAlign w:val="bottom"/>
            <w:tcBorders>
              <w:bottom w:val="single" w:sz="8" w:color="C0C0C0"/>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23,059</w:t>
            </w:r>
          </w:p>
        </w:tc>
        <w:tc>
          <w:tcPr>
            <w:tcW w:w="120" w:type="dxa"/>
            <w:vAlign w:val="bottom"/>
            <w:tcBorders>
              <w:bottom w:val="single" w:sz="8" w:color="C0C0C0"/>
            </w:tcBorders>
          </w:tcPr>
          <w:p>
            <w:pPr>
              <w:spacing w:after="0"/>
              <w:rPr>
                <w:sz w:val="20"/>
                <w:szCs w:val="20"/>
                <w:color w:val="auto"/>
              </w:rPr>
            </w:pPr>
          </w:p>
        </w:tc>
        <w:tc>
          <w:tcPr>
            <w:tcW w:w="140" w:type="dxa"/>
            <w:vAlign w:val="bottom"/>
            <w:tcBorders>
              <w:bottom w:val="single" w:sz="8" w:color="C0C0C0"/>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49,219</w:t>
            </w:r>
          </w:p>
        </w:tc>
        <w:tc>
          <w:tcPr>
            <w:tcW w:w="140" w:type="dxa"/>
            <w:vAlign w:val="bottom"/>
            <w:tcBorders>
              <w:bottom w:val="single" w:sz="8" w:color="C0C0C0"/>
            </w:tcBorders>
          </w:tcPr>
          <w:p>
            <w:pPr>
              <w:spacing w:after="0"/>
              <w:rPr>
                <w:sz w:val="20"/>
                <w:szCs w:val="20"/>
                <w:color w:val="auto"/>
              </w:rPr>
            </w:pPr>
          </w:p>
        </w:tc>
        <w:tc>
          <w:tcPr>
            <w:tcW w:w="120" w:type="dxa"/>
            <w:vAlign w:val="bottom"/>
            <w:tcBorders>
              <w:bottom w:val="single" w:sz="8" w:color="C0C0C0"/>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4"/>
              </w:rPr>
              <w:t>45,975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60" w:type="dxa"/>
            <w:vAlign w:val="bottom"/>
            <w:shd w:val="clear" w:color="auto" w:fill="C0C0C0"/>
          </w:tcPr>
          <w:p>
            <w:pPr>
              <w:ind w:left="800"/>
              <w:spacing w:after="0"/>
              <w:rPr>
                <w:sz w:val="20"/>
                <w:szCs w:val="20"/>
                <w:color w:val="auto"/>
              </w:rPr>
            </w:pPr>
            <w:r>
              <w:rPr>
                <w:rFonts w:ascii="Arial" w:cs="Arial" w:eastAsia="Arial" w:hAnsi="Arial"/>
                <w:sz w:val="18"/>
                <w:szCs w:val="18"/>
                <w:color w:val="auto"/>
              </w:rPr>
              <w:t>Income before income tax expense</w:t>
            </w:r>
          </w:p>
        </w:tc>
        <w:tc>
          <w:tcPr>
            <w:tcW w:w="14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8,761</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2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7,904</w:t>
            </w:r>
          </w:p>
        </w:tc>
        <w:tc>
          <w:tcPr>
            <w:tcW w:w="14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78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16,733</w:t>
            </w:r>
          </w:p>
        </w:tc>
        <w:tc>
          <w:tcPr>
            <w:tcW w:w="1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6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w w:val="94"/>
              </w:rPr>
              <w:t>15,757</w:t>
            </w:r>
          </w:p>
        </w:tc>
        <w:tc>
          <w:tcPr>
            <w:tcW w:w="0" w:type="dxa"/>
            <w:vAlign w:val="bottom"/>
          </w:tcPr>
          <w:p>
            <w:pPr>
              <w:spacing w:after="0"/>
              <w:rPr>
                <w:sz w:val="1"/>
                <w:szCs w:val="1"/>
                <w:color w:val="auto"/>
              </w:rPr>
            </w:pPr>
          </w:p>
        </w:tc>
      </w:tr>
      <w:tr>
        <w:trPr>
          <w:trHeight w:val="237"/>
        </w:trPr>
        <w:tc>
          <w:tcPr>
            <w:tcW w:w="588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2,248</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2,035</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3,913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4,055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860" w:type="dxa"/>
            <w:vAlign w:val="bottom"/>
            <w:tcBorders>
              <w:top w:val="single" w:sz="8" w:color="C0C0C0"/>
              <w:bottom w:val="single" w:sz="8" w:color="C0C0C0"/>
            </w:tcBorders>
            <w:shd w:val="clear" w:color="auto" w:fill="C0C0C0"/>
          </w:tcPr>
          <w:p>
            <w:pPr>
              <w:ind w:left="800"/>
              <w:spacing w:after="0"/>
              <w:rPr>
                <w:sz w:val="20"/>
                <w:szCs w:val="20"/>
                <w:color w:val="auto"/>
              </w:rPr>
            </w:pPr>
            <w:r>
              <w:rPr>
                <w:rFonts w:ascii="Arial" w:cs="Arial" w:eastAsia="Arial" w:hAnsi="Arial"/>
                <w:sz w:val="18"/>
                <w:szCs w:val="18"/>
                <w:color w:val="auto"/>
              </w:rPr>
              <w:t>Net income</w:t>
            </w:r>
          </w:p>
        </w:tc>
        <w:tc>
          <w:tcPr>
            <w:tcW w:w="1440" w:type="dxa"/>
            <w:vAlign w:val="bottom"/>
            <w:tcBorders>
              <w:top w:val="single" w:sz="8" w:color="C0C0C0"/>
              <w:bottom w:val="single" w:sz="8" w:color="C0C0C0"/>
            </w:tcBorders>
            <w:shd w:val="clear" w:color="auto" w:fill="C0C0C0"/>
          </w:tcPr>
          <w:p>
            <w:pPr>
              <w:spacing w:after="0"/>
              <w:rPr>
                <w:sz w:val="21"/>
                <w:szCs w:val="21"/>
                <w:color w:val="auto"/>
              </w:rPr>
            </w:pPr>
          </w:p>
        </w:tc>
        <w:tc>
          <w:tcPr>
            <w:tcW w:w="12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6,513</w:t>
            </w:r>
          </w:p>
        </w:tc>
        <w:tc>
          <w:tcPr>
            <w:tcW w:w="280" w:type="dxa"/>
            <w:vAlign w:val="bottom"/>
            <w:tcBorders>
              <w:top w:val="single" w:sz="8" w:color="C0C0C0"/>
              <w:bottom w:val="single" w:sz="8" w:color="C0C0C0"/>
            </w:tcBorders>
            <w:shd w:val="clear" w:color="auto" w:fill="C0C0C0"/>
          </w:tcPr>
          <w:p>
            <w:pPr>
              <w:spacing w:after="0"/>
              <w:rPr>
                <w:sz w:val="21"/>
                <w:szCs w:val="21"/>
                <w:color w:val="auto"/>
              </w:rPr>
            </w:pPr>
          </w:p>
        </w:tc>
        <w:tc>
          <w:tcPr>
            <w:tcW w:w="200" w:type="dxa"/>
            <w:vAlign w:val="bottom"/>
            <w:tcBorders>
              <w:top w:val="single" w:sz="8" w:color="auto"/>
              <w:bottom w:val="single" w:sz="8" w:color="auto"/>
            </w:tcBorders>
            <w:shd w:val="clear" w:color="auto" w:fill="C0C0C0"/>
          </w:tcPr>
          <w:p>
            <w:pPr>
              <w:jc w:val="right"/>
              <w:ind w:right="43"/>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5,869</w:t>
            </w:r>
          </w:p>
        </w:tc>
        <w:tc>
          <w:tcPr>
            <w:tcW w:w="120" w:type="dxa"/>
            <w:vAlign w:val="bottom"/>
            <w:tcBorders>
              <w:top w:val="single" w:sz="8" w:color="C0C0C0"/>
              <w:bottom w:val="single" w:sz="8" w:color="C0C0C0"/>
            </w:tcBorders>
            <w:shd w:val="clear" w:color="auto" w:fill="C0C0C0"/>
          </w:tcPr>
          <w:p>
            <w:pPr>
              <w:spacing w:after="0"/>
              <w:rPr>
                <w:sz w:val="21"/>
                <w:szCs w:val="21"/>
                <w:color w:val="auto"/>
              </w:rPr>
            </w:pPr>
          </w:p>
        </w:tc>
        <w:tc>
          <w:tcPr>
            <w:tcW w:w="140" w:type="dxa"/>
            <w:vAlign w:val="bottom"/>
            <w:tcBorders>
              <w:top w:val="single" w:sz="8" w:color="C0C0C0"/>
              <w:bottom w:val="single" w:sz="8" w:color="C0C0C0"/>
            </w:tcBorders>
            <w:shd w:val="clear" w:color="auto" w:fill="C0C0C0"/>
          </w:tcPr>
          <w:p>
            <w:pPr>
              <w:spacing w:after="0"/>
              <w:rPr>
                <w:sz w:val="21"/>
                <w:szCs w:val="21"/>
                <w:color w:val="auto"/>
              </w:rPr>
            </w:pPr>
          </w:p>
        </w:tc>
        <w:tc>
          <w:tcPr>
            <w:tcW w:w="160" w:type="dxa"/>
            <w:vAlign w:val="bottom"/>
            <w:tcBorders>
              <w:top w:val="single" w:sz="8" w:color="auto"/>
              <w:bottom w:val="single" w:sz="8" w:color="auto"/>
            </w:tcBorders>
            <w:shd w:val="clear" w:color="auto" w:fill="C0C0C0"/>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12,820</w:t>
            </w:r>
          </w:p>
        </w:tc>
        <w:tc>
          <w:tcPr>
            <w:tcW w:w="140" w:type="dxa"/>
            <w:vAlign w:val="bottom"/>
            <w:tcBorders>
              <w:top w:val="single" w:sz="8" w:color="C0C0C0"/>
              <w:bottom w:val="single" w:sz="8" w:color="C0C0C0"/>
            </w:tcBorders>
            <w:shd w:val="clear" w:color="auto" w:fill="C0C0C0"/>
          </w:tcPr>
          <w:p>
            <w:pPr>
              <w:spacing w:after="0"/>
              <w:rPr>
                <w:sz w:val="21"/>
                <w:szCs w:val="21"/>
                <w:color w:val="auto"/>
              </w:rPr>
            </w:pPr>
          </w:p>
        </w:tc>
        <w:tc>
          <w:tcPr>
            <w:tcW w:w="120" w:type="dxa"/>
            <w:vAlign w:val="bottom"/>
            <w:tcBorders>
              <w:top w:val="single" w:sz="8" w:color="C0C0C0"/>
              <w:bottom w:val="single" w:sz="8" w:color="C0C0C0"/>
            </w:tcBorders>
            <w:shd w:val="clear" w:color="auto" w:fill="C0C0C0"/>
          </w:tcPr>
          <w:p>
            <w:pPr>
              <w:spacing w:after="0"/>
              <w:rPr>
                <w:sz w:val="21"/>
                <w:szCs w:val="21"/>
                <w:color w:val="auto"/>
              </w:rPr>
            </w:pPr>
          </w:p>
        </w:tc>
        <w:tc>
          <w:tcPr>
            <w:tcW w:w="260" w:type="dxa"/>
            <w:vAlign w:val="bottom"/>
            <w:tcBorders>
              <w:top w:val="single" w:sz="8" w:color="auto"/>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w w:val="94"/>
              </w:rPr>
              <w:t>11,702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60" w:type="dxa"/>
            <w:vAlign w:val="bottom"/>
            <w:shd w:val="clear" w:color="auto" w:fill="C0C0C0"/>
          </w:tcPr>
          <w:p>
            <w:pPr>
              <w:spacing w:after="0"/>
              <w:rPr>
                <w:sz w:val="19"/>
                <w:szCs w:val="19"/>
                <w:color w:val="auto"/>
              </w:rPr>
            </w:pPr>
          </w:p>
        </w:tc>
        <w:tc>
          <w:tcPr>
            <w:tcW w:w="144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680" w:type="dxa"/>
            <w:vAlign w:val="bottom"/>
            <w:shd w:val="clear" w:color="auto" w:fill="C0C0C0"/>
          </w:tcPr>
          <w:p>
            <w:pPr>
              <w:spacing w:after="0"/>
              <w:rPr>
                <w:sz w:val="19"/>
                <w:szCs w:val="19"/>
                <w:color w:val="auto"/>
              </w:rPr>
            </w:pPr>
          </w:p>
        </w:tc>
        <w:tc>
          <w:tcPr>
            <w:tcW w:w="28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60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64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640" w:type="dxa"/>
            <w:vAlign w:val="bottom"/>
            <w:shd w:val="clear" w:color="auto" w:fill="C0C0C0"/>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5880" w:type="dxa"/>
            <w:vAlign w:val="bottom"/>
            <w:gridSpan w:val="2"/>
          </w:tcPr>
          <w:p>
            <w:pPr>
              <w:spacing w:after="0"/>
              <w:rPr>
                <w:sz w:val="20"/>
                <w:szCs w:val="20"/>
                <w:color w:val="auto"/>
              </w:rPr>
            </w:pPr>
            <w:r>
              <w:rPr>
                <w:rFonts w:ascii="Arial" w:cs="Arial" w:eastAsia="Arial" w:hAnsi="Arial"/>
                <w:sz w:val="18"/>
                <w:szCs w:val="18"/>
                <w:color w:val="auto"/>
              </w:rPr>
              <w:t>Basic earnings per share</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.58</w:t>
            </w:r>
          </w:p>
        </w:tc>
        <w:tc>
          <w:tcPr>
            <w:tcW w:w="280" w:type="dxa"/>
            <w:vAlign w:val="bottom"/>
          </w:tcPr>
          <w:p>
            <w:pPr>
              <w:spacing w:after="0"/>
              <w:rPr>
                <w:sz w:val="20"/>
                <w:szCs w:val="20"/>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.53</w:t>
            </w:r>
          </w:p>
        </w:tc>
        <w:tc>
          <w:tcPr>
            <w:tcW w:w="30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1.15</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5860" w:type="dxa"/>
            <w:vAlign w:val="bottom"/>
            <w:shd w:val="clear" w:color="auto" w:fill="C0C0C0"/>
          </w:tcPr>
          <w:p>
            <w:pPr>
              <w:spacing w:after="0"/>
              <w:rPr>
                <w:sz w:val="20"/>
                <w:szCs w:val="20"/>
                <w:color w:val="auto"/>
              </w:rPr>
            </w:pPr>
            <w:r>
              <w:rPr>
                <w:rFonts w:ascii="Arial" w:cs="Arial" w:eastAsia="Arial" w:hAnsi="Arial"/>
                <w:sz w:val="18"/>
                <w:szCs w:val="18"/>
                <w:color w:val="auto"/>
              </w:rPr>
              <w:t>Diluted earnings per share</w:t>
            </w:r>
          </w:p>
        </w:tc>
        <w:tc>
          <w:tcPr>
            <w:tcW w:w="14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.58</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2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.52</w:t>
            </w:r>
          </w:p>
        </w:tc>
        <w:tc>
          <w:tcPr>
            <w:tcW w:w="14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78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6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CASS INFORMATION SYSTEMS,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60" w:type="dxa"/>
            <w:vAlign w:val="bottom"/>
            <w:gridSpan w:val="5"/>
          </w:tcPr>
          <w:p>
            <w:pPr>
              <w:ind w:left="8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19"/>
                <w:szCs w:val="19"/>
                <w:color w:val="auto"/>
              </w:rPr>
            </w:pPr>
          </w:p>
        </w:tc>
        <w:tc>
          <w:tcPr>
            <w:tcW w:w="1840" w:type="dxa"/>
            <w:vAlign w:val="bottom"/>
            <w:gridSpan w:val="4"/>
          </w:tcPr>
          <w:p>
            <w:pPr>
              <w:jc w:val="right"/>
              <w:ind w:right="232"/>
              <w:spacing w:after="0"/>
              <w:rPr>
                <w:sz w:val="20"/>
                <w:szCs w:val="20"/>
                <w:color w:val="auto"/>
              </w:rPr>
            </w:pPr>
            <w:r>
              <w:rPr>
                <w:rFonts w:ascii="Arial" w:cs="Arial" w:eastAsia="Arial" w:hAnsi="Arial"/>
                <w:sz w:val="18"/>
                <w:szCs w:val="18"/>
                <w:b w:val="1"/>
                <w:bCs w:val="1"/>
                <w:color w:val="auto"/>
                <w:w w:val="96"/>
              </w:rPr>
              <w:t>Six Months Ended</w:t>
            </w:r>
          </w:p>
        </w:tc>
      </w:tr>
      <w:tr>
        <w:trPr>
          <w:trHeight w:val="252"/>
        </w:trPr>
        <w:tc>
          <w:tcPr>
            <w:tcW w:w="58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66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June 30,</w:t>
            </w:r>
          </w:p>
        </w:tc>
        <w:tc>
          <w:tcPr>
            <w:tcW w:w="660" w:type="dxa"/>
            <w:vAlign w:val="bottom"/>
            <w:tcBorders>
              <w:bottom w:val="single" w:sz="8" w:color="auto"/>
            </w:tcBorders>
          </w:tcPr>
          <w:p>
            <w:pPr>
              <w:spacing w:after="0"/>
              <w:rPr>
                <w:sz w:val="21"/>
                <w:szCs w:val="21"/>
                <w:color w:val="auto"/>
              </w:rPr>
            </w:pPr>
          </w:p>
        </w:tc>
      </w:tr>
      <w:tr>
        <w:trPr>
          <w:trHeight w:val="237"/>
        </w:trPr>
        <w:tc>
          <w:tcPr>
            <w:tcW w:w="58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2017</w:t>
            </w:r>
          </w:p>
        </w:tc>
        <w:tc>
          <w:tcPr>
            <w:tcW w:w="2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94"/>
              </w:rPr>
              <w:t>2016</w:t>
            </w:r>
          </w:p>
        </w:tc>
        <w:tc>
          <w:tcPr>
            <w:tcW w:w="2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2017</w:t>
            </w:r>
          </w:p>
        </w:tc>
        <w:tc>
          <w:tcPr>
            <w:tcW w:w="2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94"/>
              </w:rPr>
              <w:t>2016</w:t>
            </w:r>
          </w:p>
        </w:tc>
      </w:tr>
      <w:tr>
        <w:trPr>
          <w:trHeight w:val="243"/>
        </w:trPr>
        <w:tc>
          <w:tcPr>
            <w:tcW w:w="584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Comprehensive Income</w:t>
            </w:r>
            <w:r>
              <w:rPr>
                <w:rFonts w:ascii="Arial" w:cs="Arial" w:eastAsia="Arial" w:hAnsi="Arial"/>
                <w:sz w:val="18"/>
                <w:szCs w:val="18"/>
                <w:color w:val="auto"/>
              </w:rPr>
              <w:t>:</w:t>
            </w:r>
          </w:p>
        </w:tc>
        <w:tc>
          <w:tcPr>
            <w:tcW w:w="126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74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66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660" w:type="dxa"/>
            <w:vAlign w:val="bottom"/>
            <w:shd w:val="clear" w:color="auto" w:fill="C0C0C0"/>
          </w:tcPr>
          <w:p>
            <w:pPr>
              <w:spacing w:after="0"/>
              <w:rPr>
                <w:sz w:val="21"/>
                <w:szCs w:val="21"/>
                <w:color w:val="auto"/>
              </w:rPr>
            </w:pPr>
          </w:p>
        </w:tc>
      </w:tr>
      <w:tr>
        <w:trPr>
          <w:trHeight w:val="235"/>
        </w:trPr>
        <w:tc>
          <w:tcPr>
            <w:tcW w:w="5840" w:type="dxa"/>
            <w:vAlign w:val="bottom"/>
          </w:tcPr>
          <w:p>
            <w:pPr>
              <w:spacing w:after="0"/>
              <w:rPr>
                <w:sz w:val="20"/>
                <w:szCs w:val="20"/>
                <w:color w:val="auto"/>
              </w:rPr>
            </w:pPr>
            <w:r>
              <w:rPr>
                <w:rFonts w:ascii="Arial" w:cs="Arial" w:eastAsia="Arial" w:hAnsi="Arial"/>
                <w:sz w:val="18"/>
                <w:szCs w:val="18"/>
                <w:color w:val="auto"/>
              </w:rPr>
              <w:t>Net income</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6,513</w:t>
            </w:r>
          </w:p>
        </w:tc>
        <w:tc>
          <w:tcPr>
            <w:tcW w:w="280" w:type="dxa"/>
            <w:vAlign w:val="bottom"/>
          </w:tcPr>
          <w:p>
            <w:pPr>
              <w:spacing w:after="0"/>
              <w:rPr>
                <w:sz w:val="20"/>
                <w:szCs w:val="20"/>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5,869</w:t>
            </w:r>
          </w:p>
        </w:tc>
        <w:tc>
          <w:tcPr>
            <w:tcW w:w="280" w:type="dxa"/>
            <w:vAlign w:val="bottom"/>
          </w:tcPr>
          <w:p>
            <w:pPr>
              <w:spacing w:after="0"/>
              <w:rPr>
                <w:sz w:val="20"/>
                <w:szCs w:val="20"/>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12,820</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11,702</w:t>
            </w:r>
          </w:p>
        </w:tc>
      </w:tr>
      <w:tr>
        <w:trPr>
          <w:trHeight w:val="251"/>
        </w:trPr>
        <w:tc>
          <w:tcPr>
            <w:tcW w:w="5840" w:type="dxa"/>
            <w:vAlign w:val="bottom"/>
            <w:shd w:val="clear" w:color="auto" w:fill="C0C0C0"/>
          </w:tcPr>
          <w:p>
            <w:pPr>
              <w:spacing w:after="0"/>
              <w:rPr>
                <w:sz w:val="20"/>
                <w:szCs w:val="20"/>
                <w:color w:val="auto"/>
              </w:rPr>
            </w:pPr>
            <w:r>
              <w:rPr>
                <w:rFonts w:ascii="Arial" w:cs="Arial" w:eastAsia="Arial" w:hAnsi="Arial"/>
                <w:sz w:val="18"/>
                <w:szCs w:val="18"/>
                <w:color w:val="auto"/>
              </w:rPr>
              <w:t>Other comprehensive income:</w:t>
            </w:r>
          </w:p>
        </w:tc>
        <w:tc>
          <w:tcPr>
            <w:tcW w:w="126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74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66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660" w:type="dxa"/>
            <w:vAlign w:val="bottom"/>
            <w:shd w:val="clear" w:color="auto" w:fill="C0C0C0"/>
          </w:tcPr>
          <w:p>
            <w:pPr>
              <w:spacing w:after="0"/>
              <w:rPr>
                <w:sz w:val="21"/>
                <w:szCs w:val="21"/>
                <w:color w:val="auto"/>
              </w:rPr>
            </w:pPr>
          </w:p>
        </w:tc>
      </w:tr>
      <w:tr>
        <w:trPr>
          <w:trHeight w:val="235"/>
        </w:trPr>
        <w:tc>
          <w:tcPr>
            <w:tcW w:w="5840" w:type="dxa"/>
            <w:vAlign w:val="bottom"/>
          </w:tcPr>
          <w:p>
            <w:pPr>
              <w:ind w:left="280"/>
              <w:spacing w:after="0"/>
              <w:rPr>
                <w:sz w:val="20"/>
                <w:szCs w:val="20"/>
                <w:color w:val="auto"/>
              </w:rPr>
            </w:pPr>
            <w:r>
              <w:rPr>
                <w:rFonts w:ascii="Arial" w:cs="Arial" w:eastAsia="Arial" w:hAnsi="Arial"/>
                <w:sz w:val="18"/>
                <w:szCs w:val="18"/>
                <w:color w:val="auto"/>
              </w:rPr>
              <w:t>Net unrealized gain on securities available-for-sale</w:t>
            </w: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5,832</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4,538</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8,345</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8,212</w:t>
            </w:r>
          </w:p>
        </w:tc>
      </w:tr>
      <w:tr>
        <w:trPr>
          <w:trHeight w:val="235"/>
        </w:trPr>
        <w:tc>
          <w:tcPr>
            <w:tcW w:w="5840" w:type="dxa"/>
            <w:vAlign w:val="bottom"/>
            <w:shd w:val="clear" w:color="auto" w:fill="C0C0C0"/>
          </w:tcPr>
          <w:p>
            <w:pPr>
              <w:ind w:left="540"/>
              <w:spacing w:after="0"/>
              <w:rPr>
                <w:sz w:val="20"/>
                <w:szCs w:val="20"/>
                <w:color w:val="auto"/>
              </w:rPr>
            </w:pPr>
            <w:r>
              <w:rPr>
                <w:rFonts w:ascii="Arial" w:cs="Arial" w:eastAsia="Arial" w:hAnsi="Arial"/>
                <w:sz w:val="18"/>
                <w:szCs w:val="18"/>
                <w:color w:val="auto"/>
              </w:rPr>
              <w:t>Tax effect</w:t>
            </w:r>
          </w:p>
        </w:tc>
        <w:tc>
          <w:tcPr>
            <w:tcW w:w="126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(2,167)</w:t>
            </w:r>
          </w:p>
        </w:tc>
        <w:tc>
          <w:tcPr>
            <w:tcW w:w="28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(1,686)</w:t>
            </w:r>
          </w:p>
        </w:tc>
        <w:tc>
          <w:tcPr>
            <w:tcW w:w="280" w:type="dxa"/>
            <w:vAlign w:val="bottom"/>
            <w:shd w:val="clear" w:color="auto" w:fill="C0C0C0"/>
          </w:tcPr>
          <w:p>
            <w:pPr>
              <w:spacing w:after="0"/>
              <w:rPr>
                <w:sz w:val="20"/>
                <w:szCs w:val="20"/>
                <w:color w:val="auto"/>
              </w:rPr>
            </w:pPr>
          </w:p>
        </w:tc>
        <w:tc>
          <w:tcPr>
            <w:tcW w:w="180" w:type="dxa"/>
            <w:vAlign w:val="bottom"/>
            <w:shd w:val="clear" w:color="auto" w:fill="C0C0C0"/>
          </w:tcPr>
          <w:p>
            <w:pPr>
              <w:spacing w:after="0"/>
              <w:rPr>
                <w:sz w:val="20"/>
                <w:szCs w:val="20"/>
                <w:color w:val="auto"/>
              </w:rPr>
            </w:pP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(3,100)</w:t>
            </w:r>
          </w:p>
        </w:tc>
        <w:tc>
          <w:tcPr>
            <w:tcW w:w="28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(3,051)</w:t>
            </w:r>
          </w:p>
        </w:tc>
      </w:tr>
      <w:tr>
        <w:trPr>
          <w:trHeight w:val="259"/>
        </w:trPr>
        <w:tc>
          <w:tcPr>
            <w:tcW w:w="5840" w:type="dxa"/>
            <w:vAlign w:val="bottom"/>
            <w:shd w:val="clear" w:color="auto" w:fill="C0C0C0"/>
          </w:tcPr>
          <w:p>
            <w:pPr>
              <w:spacing w:after="0"/>
              <w:rPr>
                <w:sz w:val="22"/>
                <w:szCs w:val="22"/>
                <w:color w:val="auto"/>
              </w:rPr>
            </w:pPr>
          </w:p>
        </w:tc>
        <w:tc>
          <w:tcPr>
            <w:tcW w:w="1260" w:type="dxa"/>
            <w:vAlign w:val="bottom"/>
            <w:shd w:val="clear" w:color="auto" w:fill="C0C0C0"/>
          </w:tcPr>
          <w:p>
            <w:pPr>
              <w:spacing w:after="0"/>
              <w:rPr>
                <w:sz w:val="22"/>
                <w:szCs w:val="22"/>
                <w:color w:val="auto"/>
              </w:rPr>
            </w:pPr>
          </w:p>
        </w:tc>
        <w:tc>
          <w:tcPr>
            <w:tcW w:w="140" w:type="dxa"/>
            <w:vAlign w:val="bottom"/>
            <w:shd w:val="clear" w:color="auto" w:fill="C0C0C0"/>
          </w:tcPr>
          <w:p>
            <w:pPr>
              <w:spacing w:after="0"/>
              <w:rPr>
                <w:sz w:val="22"/>
                <w:szCs w:val="22"/>
                <w:color w:val="auto"/>
              </w:rPr>
            </w:pPr>
          </w:p>
        </w:tc>
        <w:tc>
          <w:tcPr>
            <w:tcW w:w="740" w:type="dxa"/>
            <w:vAlign w:val="bottom"/>
            <w:shd w:val="clear" w:color="auto" w:fill="C0C0C0"/>
          </w:tcPr>
          <w:p>
            <w:pPr>
              <w:spacing w:after="0"/>
              <w:rPr>
                <w:sz w:val="22"/>
                <w:szCs w:val="22"/>
                <w:color w:val="auto"/>
              </w:rPr>
            </w:pPr>
          </w:p>
        </w:tc>
        <w:tc>
          <w:tcPr>
            <w:tcW w:w="280" w:type="dxa"/>
            <w:vAlign w:val="bottom"/>
            <w:shd w:val="clear" w:color="auto" w:fill="C0C0C0"/>
          </w:tcPr>
          <w:p>
            <w:pPr>
              <w:spacing w:after="0"/>
              <w:rPr>
                <w:sz w:val="22"/>
                <w:szCs w:val="22"/>
                <w:color w:val="auto"/>
              </w:rPr>
            </w:pPr>
          </w:p>
        </w:tc>
        <w:tc>
          <w:tcPr>
            <w:tcW w:w="200" w:type="dxa"/>
            <w:vAlign w:val="bottom"/>
            <w:shd w:val="clear" w:color="auto" w:fill="C0C0C0"/>
          </w:tcPr>
          <w:p>
            <w:pPr>
              <w:spacing w:after="0"/>
              <w:rPr>
                <w:sz w:val="22"/>
                <w:szCs w:val="22"/>
                <w:color w:val="auto"/>
              </w:rPr>
            </w:pPr>
          </w:p>
        </w:tc>
        <w:tc>
          <w:tcPr>
            <w:tcW w:w="660" w:type="dxa"/>
            <w:vAlign w:val="bottom"/>
            <w:shd w:val="clear" w:color="auto" w:fill="C0C0C0"/>
          </w:tcPr>
          <w:p>
            <w:pPr>
              <w:spacing w:after="0"/>
              <w:rPr>
                <w:sz w:val="22"/>
                <w:szCs w:val="22"/>
                <w:color w:val="auto"/>
              </w:rPr>
            </w:pPr>
          </w:p>
        </w:tc>
        <w:tc>
          <w:tcPr>
            <w:tcW w:w="280" w:type="dxa"/>
            <w:vAlign w:val="bottom"/>
            <w:shd w:val="clear" w:color="auto" w:fill="C0C0C0"/>
          </w:tcPr>
          <w:p>
            <w:pPr>
              <w:spacing w:after="0"/>
              <w:rPr>
                <w:sz w:val="22"/>
                <w:szCs w:val="22"/>
                <w:color w:val="auto"/>
              </w:rPr>
            </w:pPr>
          </w:p>
        </w:tc>
        <w:tc>
          <w:tcPr>
            <w:tcW w:w="180" w:type="dxa"/>
            <w:vAlign w:val="bottom"/>
            <w:shd w:val="clear" w:color="auto" w:fill="C0C0C0"/>
          </w:tcPr>
          <w:p>
            <w:pPr>
              <w:spacing w:after="0"/>
              <w:rPr>
                <w:sz w:val="22"/>
                <w:szCs w:val="22"/>
                <w:color w:val="auto"/>
              </w:rPr>
            </w:pPr>
          </w:p>
        </w:tc>
        <w:tc>
          <w:tcPr>
            <w:tcW w:w="700" w:type="dxa"/>
            <w:vAlign w:val="bottom"/>
            <w:shd w:val="clear" w:color="auto" w:fill="C0C0C0"/>
          </w:tcPr>
          <w:p>
            <w:pPr>
              <w:spacing w:after="0"/>
              <w:rPr>
                <w:sz w:val="22"/>
                <w:szCs w:val="22"/>
                <w:color w:val="auto"/>
              </w:rPr>
            </w:pPr>
          </w:p>
        </w:tc>
        <w:tc>
          <w:tcPr>
            <w:tcW w:w="280" w:type="dxa"/>
            <w:vAlign w:val="bottom"/>
            <w:shd w:val="clear" w:color="auto" w:fill="C0C0C0"/>
          </w:tcPr>
          <w:p>
            <w:pPr>
              <w:spacing w:after="0"/>
              <w:rPr>
                <w:sz w:val="22"/>
                <w:szCs w:val="22"/>
                <w:color w:val="auto"/>
              </w:rPr>
            </w:pPr>
          </w:p>
        </w:tc>
        <w:tc>
          <w:tcPr>
            <w:tcW w:w="200" w:type="dxa"/>
            <w:vAlign w:val="bottom"/>
            <w:shd w:val="clear" w:color="auto" w:fill="C0C0C0"/>
          </w:tcPr>
          <w:p>
            <w:pPr>
              <w:spacing w:after="0"/>
              <w:rPr>
                <w:sz w:val="22"/>
                <w:szCs w:val="22"/>
                <w:color w:val="auto"/>
              </w:rPr>
            </w:pPr>
          </w:p>
        </w:tc>
        <w:tc>
          <w:tcPr>
            <w:tcW w:w="660" w:type="dxa"/>
            <w:vAlign w:val="bottom"/>
            <w:shd w:val="clear" w:color="auto" w:fill="C0C0C0"/>
          </w:tcPr>
          <w:p>
            <w:pPr>
              <w:spacing w:after="0"/>
              <w:rPr>
                <w:sz w:val="22"/>
                <w:szCs w:val="22"/>
                <w:color w:val="auto"/>
              </w:rPr>
            </w:pPr>
          </w:p>
        </w:tc>
      </w:tr>
      <w:tr>
        <w:trPr>
          <w:trHeight w:val="235"/>
        </w:trPr>
        <w:tc>
          <w:tcPr>
            <w:tcW w:w="5840" w:type="dxa"/>
            <w:vAlign w:val="bottom"/>
          </w:tcPr>
          <w:p>
            <w:pPr>
              <w:ind w:left="280"/>
              <w:spacing w:after="0"/>
              <w:rPr>
                <w:sz w:val="20"/>
                <w:szCs w:val="20"/>
                <w:color w:val="auto"/>
              </w:rPr>
            </w:pPr>
            <w:r>
              <w:rPr>
                <w:rFonts w:ascii="Arial" w:cs="Arial" w:eastAsia="Arial" w:hAnsi="Arial"/>
                <w:sz w:val="18"/>
                <w:szCs w:val="18"/>
                <w:color w:val="auto"/>
              </w:rPr>
              <w:t>Reclassification adjustments for gains included in net income</w:t>
            </w: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(79)</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(387)</w:t>
            </w:r>
          </w:p>
        </w:tc>
      </w:tr>
      <w:tr>
        <w:trPr>
          <w:trHeight w:val="235"/>
        </w:trPr>
        <w:tc>
          <w:tcPr>
            <w:tcW w:w="5840" w:type="dxa"/>
            <w:vAlign w:val="bottom"/>
            <w:shd w:val="clear" w:color="auto" w:fill="C0C0C0"/>
          </w:tcPr>
          <w:p>
            <w:pPr>
              <w:ind w:left="540"/>
              <w:spacing w:after="0"/>
              <w:rPr>
                <w:sz w:val="20"/>
                <w:szCs w:val="20"/>
                <w:color w:val="auto"/>
              </w:rPr>
            </w:pPr>
            <w:r>
              <w:rPr>
                <w:rFonts w:ascii="Arial" w:cs="Arial" w:eastAsia="Arial" w:hAnsi="Arial"/>
                <w:sz w:val="18"/>
                <w:szCs w:val="18"/>
                <w:color w:val="auto"/>
              </w:rPr>
              <w:t>Tax effect</w:t>
            </w:r>
          </w:p>
        </w:tc>
        <w:tc>
          <w:tcPr>
            <w:tcW w:w="126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1020" w:type="dxa"/>
            <w:vAlign w:val="bottom"/>
            <w:gridSpan w:val="2"/>
            <w:shd w:val="clear" w:color="auto" w:fill="C0C0C0"/>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0C0C0"/>
          </w:tcPr>
          <w:p>
            <w:pPr>
              <w:spacing w:after="0"/>
              <w:rPr>
                <w:sz w:val="20"/>
                <w:szCs w:val="20"/>
                <w:color w:val="auto"/>
              </w:rPr>
            </w:pPr>
          </w:p>
        </w:tc>
        <w:tc>
          <w:tcPr>
            <w:tcW w:w="6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29</w:t>
            </w:r>
          </w:p>
        </w:tc>
        <w:tc>
          <w:tcPr>
            <w:tcW w:w="280" w:type="dxa"/>
            <w:vAlign w:val="bottom"/>
            <w:shd w:val="clear" w:color="auto" w:fill="C0C0C0"/>
          </w:tcPr>
          <w:p>
            <w:pPr>
              <w:spacing w:after="0"/>
              <w:rPr>
                <w:sz w:val="20"/>
                <w:szCs w:val="20"/>
                <w:color w:val="auto"/>
              </w:rPr>
            </w:pPr>
          </w:p>
        </w:tc>
        <w:tc>
          <w:tcPr>
            <w:tcW w:w="180" w:type="dxa"/>
            <w:vAlign w:val="bottom"/>
            <w:shd w:val="clear" w:color="auto" w:fill="C0C0C0"/>
          </w:tcPr>
          <w:p>
            <w:pPr>
              <w:spacing w:after="0"/>
              <w:rPr>
                <w:sz w:val="20"/>
                <w:szCs w:val="20"/>
                <w:color w:val="auto"/>
              </w:rPr>
            </w:pP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143</w:t>
            </w:r>
          </w:p>
        </w:tc>
      </w:tr>
      <w:tr>
        <w:trPr>
          <w:trHeight w:val="259"/>
        </w:trPr>
        <w:tc>
          <w:tcPr>
            <w:tcW w:w="5840" w:type="dxa"/>
            <w:vAlign w:val="bottom"/>
            <w:shd w:val="clear" w:color="auto" w:fill="C0C0C0"/>
          </w:tcPr>
          <w:p>
            <w:pPr>
              <w:spacing w:after="0"/>
              <w:rPr>
                <w:sz w:val="22"/>
                <w:szCs w:val="22"/>
                <w:color w:val="auto"/>
              </w:rPr>
            </w:pPr>
          </w:p>
        </w:tc>
        <w:tc>
          <w:tcPr>
            <w:tcW w:w="1260" w:type="dxa"/>
            <w:vAlign w:val="bottom"/>
            <w:shd w:val="clear" w:color="auto" w:fill="C0C0C0"/>
          </w:tcPr>
          <w:p>
            <w:pPr>
              <w:spacing w:after="0"/>
              <w:rPr>
                <w:sz w:val="22"/>
                <w:szCs w:val="22"/>
                <w:color w:val="auto"/>
              </w:rPr>
            </w:pPr>
          </w:p>
        </w:tc>
        <w:tc>
          <w:tcPr>
            <w:tcW w:w="140" w:type="dxa"/>
            <w:vAlign w:val="bottom"/>
            <w:shd w:val="clear" w:color="auto" w:fill="C0C0C0"/>
          </w:tcPr>
          <w:p>
            <w:pPr>
              <w:spacing w:after="0"/>
              <w:rPr>
                <w:sz w:val="22"/>
                <w:szCs w:val="22"/>
                <w:color w:val="auto"/>
              </w:rPr>
            </w:pPr>
          </w:p>
        </w:tc>
        <w:tc>
          <w:tcPr>
            <w:tcW w:w="740" w:type="dxa"/>
            <w:vAlign w:val="bottom"/>
            <w:shd w:val="clear" w:color="auto" w:fill="C0C0C0"/>
          </w:tcPr>
          <w:p>
            <w:pPr>
              <w:spacing w:after="0"/>
              <w:rPr>
                <w:sz w:val="22"/>
                <w:szCs w:val="22"/>
                <w:color w:val="auto"/>
              </w:rPr>
            </w:pPr>
          </w:p>
        </w:tc>
        <w:tc>
          <w:tcPr>
            <w:tcW w:w="280" w:type="dxa"/>
            <w:vAlign w:val="bottom"/>
            <w:shd w:val="clear" w:color="auto" w:fill="C0C0C0"/>
          </w:tcPr>
          <w:p>
            <w:pPr>
              <w:spacing w:after="0"/>
              <w:rPr>
                <w:sz w:val="22"/>
                <w:szCs w:val="22"/>
                <w:color w:val="auto"/>
              </w:rPr>
            </w:pPr>
          </w:p>
        </w:tc>
        <w:tc>
          <w:tcPr>
            <w:tcW w:w="200" w:type="dxa"/>
            <w:vAlign w:val="bottom"/>
            <w:shd w:val="clear" w:color="auto" w:fill="C0C0C0"/>
          </w:tcPr>
          <w:p>
            <w:pPr>
              <w:spacing w:after="0"/>
              <w:rPr>
                <w:sz w:val="22"/>
                <w:szCs w:val="22"/>
                <w:color w:val="auto"/>
              </w:rPr>
            </w:pPr>
          </w:p>
        </w:tc>
        <w:tc>
          <w:tcPr>
            <w:tcW w:w="660" w:type="dxa"/>
            <w:vAlign w:val="bottom"/>
            <w:shd w:val="clear" w:color="auto" w:fill="C0C0C0"/>
          </w:tcPr>
          <w:p>
            <w:pPr>
              <w:spacing w:after="0"/>
              <w:rPr>
                <w:sz w:val="22"/>
                <w:szCs w:val="22"/>
                <w:color w:val="auto"/>
              </w:rPr>
            </w:pPr>
          </w:p>
        </w:tc>
        <w:tc>
          <w:tcPr>
            <w:tcW w:w="280" w:type="dxa"/>
            <w:vAlign w:val="bottom"/>
            <w:shd w:val="clear" w:color="auto" w:fill="C0C0C0"/>
          </w:tcPr>
          <w:p>
            <w:pPr>
              <w:spacing w:after="0"/>
              <w:rPr>
                <w:sz w:val="22"/>
                <w:szCs w:val="22"/>
                <w:color w:val="auto"/>
              </w:rPr>
            </w:pPr>
          </w:p>
        </w:tc>
        <w:tc>
          <w:tcPr>
            <w:tcW w:w="180" w:type="dxa"/>
            <w:vAlign w:val="bottom"/>
            <w:shd w:val="clear" w:color="auto" w:fill="C0C0C0"/>
          </w:tcPr>
          <w:p>
            <w:pPr>
              <w:spacing w:after="0"/>
              <w:rPr>
                <w:sz w:val="22"/>
                <w:szCs w:val="22"/>
                <w:color w:val="auto"/>
              </w:rPr>
            </w:pPr>
          </w:p>
        </w:tc>
        <w:tc>
          <w:tcPr>
            <w:tcW w:w="700" w:type="dxa"/>
            <w:vAlign w:val="bottom"/>
            <w:shd w:val="clear" w:color="auto" w:fill="C0C0C0"/>
          </w:tcPr>
          <w:p>
            <w:pPr>
              <w:spacing w:after="0"/>
              <w:rPr>
                <w:sz w:val="22"/>
                <w:szCs w:val="22"/>
                <w:color w:val="auto"/>
              </w:rPr>
            </w:pPr>
          </w:p>
        </w:tc>
        <w:tc>
          <w:tcPr>
            <w:tcW w:w="280" w:type="dxa"/>
            <w:vAlign w:val="bottom"/>
            <w:shd w:val="clear" w:color="auto" w:fill="C0C0C0"/>
          </w:tcPr>
          <w:p>
            <w:pPr>
              <w:spacing w:after="0"/>
              <w:rPr>
                <w:sz w:val="22"/>
                <w:szCs w:val="22"/>
                <w:color w:val="auto"/>
              </w:rPr>
            </w:pPr>
          </w:p>
        </w:tc>
        <w:tc>
          <w:tcPr>
            <w:tcW w:w="200" w:type="dxa"/>
            <w:vAlign w:val="bottom"/>
            <w:shd w:val="clear" w:color="auto" w:fill="C0C0C0"/>
          </w:tcPr>
          <w:p>
            <w:pPr>
              <w:spacing w:after="0"/>
              <w:rPr>
                <w:sz w:val="22"/>
                <w:szCs w:val="22"/>
                <w:color w:val="auto"/>
              </w:rPr>
            </w:pPr>
          </w:p>
        </w:tc>
        <w:tc>
          <w:tcPr>
            <w:tcW w:w="660" w:type="dxa"/>
            <w:vAlign w:val="bottom"/>
            <w:shd w:val="clear" w:color="auto" w:fill="C0C0C0"/>
          </w:tcPr>
          <w:p>
            <w:pPr>
              <w:spacing w:after="0"/>
              <w:rPr>
                <w:sz w:val="22"/>
                <w:szCs w:val="22"/>
                <w:color w:val="auto"/>
              </w:rPr>
            </w:pPr>
          </w:p>
        </w:tc>
      </w:tr>
      <w:tr>
        <w:trPr>
          <w:trHeight w:val="237"/>
        </w:trPr>
        <w:tc>
          <w:tcPr>
            <w:tcW w:w="5840" w:type="dxa"/>
            <w:vAlign w:val="bottom"/>
            <w:tcBorders>
              <w:bottom w:val="single" w:sz="8" w:color="C0C0C0"/>
            </w:tcBorders>
          </w:tcPr>
          <w:p>
            <w:pPr>
              <w:ind w:left="280"/>
              <w:spacing w:after="0"/>
              <w:rPr>
                <w:sz w:val="20"/>
                <w:szCs w:val="20"/>
                <w:color w:val="auto"/>
              </w:rPr>
            </w:pPr>
            <w:r>
              <w:rPr>
                <w:rFonts w:ascii="Arial" w:cs="Arial" w:eastAsia="Arial" w:hAnsi="Arial"/>
                <w:sz w:val="18"/>
                <w:szCs w:val="18"/>
                <w:color w:val="auto"/>
              </w:rPr>
              <w:t>Foreign currency translation adjustments</w:t>
            </w:r>
          </w:p>
        </w:tc>
        <w:tc>
          <w:tcPr>
            <w:tcW w:w="1260" w:type="dxa"/>
            <w:vAlign w:val="bottom"/>
            <w:tcBorders>
              <w:bottom w:val="single" w:sz="8" w:color="C0C0C0"/>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280" w:type="dxa"/>
            <w:vAlign w:val="bottom"/>
            <w:tcBorders>
              <w:bottom w:val="single" w:sz="8" w:color="C0C0C0"/>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280" w:type="dxa"/>
            <w:vAlign w:val="bottom"/>
            <w:tcBorders>
              <w:bottom w:val="single" w:sz="8" w:color="C0C0C0"/>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280" w:type="dxa"/>
            <w:vAlign w:val="bottom"/>
            <w:tcBorders>
              <w:bottom w:val="single" w:sz="8" w:color="C0C0C0"/>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42"/>
        </w:trPr>
        <w:tc>
          <w:tcPr>
            <w:tcW w:w="5840" w:type="dxa"/>
            <w:vAlign w:val="bottom"/>
            <w:shd w:val="clear" w:color="auto" w:fill="C0C0C0"/>
          </w:tcPr>
          <w:p>
            <w:pPr>
              <w:spacing w:after="0"/>
              <w:rPr>
                <w:sz w:val="20"/>
                <w:szCs w:val="20"/>
                <w:color w:val="auto"/>
              </w:rPr>
            </w:pPr>
            <w:r>
              <w:rPr>
                <w:rFonts w:ascii="Arial" w:cs="Arial" w:eastAsia="Arial" w:hAnsi="Arial"/>
                <w:sz w:val="18"/>
                <w:szCs w:val="18"/>
                <w:color w:val="auto"/>
              </w:rPr>
              <w:t>Total comprehensive income</w:t>
            </w:r>
          </w:p>
        </w:tc>
        <w:tc>
          <w:tcPr>
            <w:tcW w:w="1400" w:type="dxa"/>
            <w:vAlign w:val="bottom"/>
            <w:gridSpan w:val="2"/>
            <w:shd w:val="clear" w:color="auto" w:fill="C0C0C0"/>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10,272</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jc w:val="right"/>
              <w:ind w:right="4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8,636</w:t>
            </w:r>
          </w:p>
        </w:tc>
        <w:tc>
          <w:tcPr>
            <w:tcW w:w="280" w:type="dxa"/>
            <w:vAlign w:val="bottom"/>
            <w:shd w:val="clear" w:color="auto" w:fill="C0C0C0"/>
          </w:tcPr>
          <w:p>
            <w:pPr>
              <w:spacing w:after="0"/>
              <w:rPr>
                <w:sz w:val="21"/>
                <w:szCs w:val="21"/>
                <w:color w:val="auto"/>
              </w:rPr>
            </w:pPr>
          </w:p>
        </w:tc>
        <w:tc>
          <w:tcPr>
            <w:tcW w:w="180" w:type="dxa"/>
            <w:vAlign w:val="bottom"/>
            <w:shd w:val="clear" w:color="auto" w:fill="C0C0C0"/>
          </w:tcPr>
          <w:p>
            <w:pPr>
              <w:jc w:val="right"/>
              <w:ind w:right="23"/>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18,167</w:t>
            </w:r>
          </w:p>
        </w:tc>
        <w:tc>
          <w:tcPr>
            <w:tcW w:w="48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16,630</w:t>
            </w:r>
          </w:p>
        </w:tc>
      </w:tr>
      <w:tr>
        <w:trPr>
          <w:trHeight w:val="28"/>
        </w:trPr>
        <w:tc>
          <w:tcPr>
            <w:tcW w:w="5840" w:type="dxa"/>
            <w:vAlign w:val="bottom"/>
            <w:shd w:val="clear" w:color="auto" w:fill="C0C0C0"/>
          </w:tcPr>
          <w:p>
            <w:pPr>
              <w:spacing w:after="0"/>
              <w:rPr>
                <w:sz w:val="2"/>
                <w:szCs w:val="2"/>
                <w:color w:val="auto"/>
              </w:rPr>
            </w:pPr>
          </w:p>
        </w:tc>
        <w:tc>
          <w:tcPr>
            <w:tcW w:w="1260" w:type="dxa"/>
            <w:vAlign w:val="bottom"/>
            <w:shd w:val="clear" w:color="auto" w:fill="C0C0C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shd w:val="clear" w:color="auto" w:fill="C0C0C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shd w:val="clear" w:color="auto" w:fill="C0C0C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shd w:val="clear" w:color="auto" w:fill="C0C0C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CASS INFORMATION SYSTEMS,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9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20" w:type="dxa"/>
            <w:vAlign w:val="bottom"/>
            <w:gridSpan w:val="4"/>
          </w:tcPr>
          <w:p>
            <w:pPr>
              <w:jc w:val="right"/>
              <w:ind w:right="332"/>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91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June 30,</w:t>
            </w:r>
          </w:p>
        </w:tc>
        <w:tc>
          <w:tcPr>
            <w:tcW w:w="7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1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2017</w:t>
            </w:r>
          </w:p>
        </w:tc>
        <w:tc>
          <w:tcPr>
            <w:tcW w:w="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w w:val="99"/>
              </w:rPr>
              <w:t>2016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18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0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72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92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12,820</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11,702</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9180" w:type="dxa"/>
            <w:vAlign w:val="bottom"/>
            <w:shd w:val="clear" w:color="auto" w:fill="C0C0C0"/>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0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72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9180" w:type="dxa"/>
            <w:vAlign w:val="bottom"/>
          </w:tcPr>
          <w:p>
            <w:pPr>
              <w:ind w:left="5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0"/>
                <w:szCs w:val="20"/>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5,471</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4,613</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9180" w:type="dxa"/>
            <w:vAlign w:val="bottom"/>
            <w:shd w:val="clear" w:color="auto" w:fill="C0C0C0"/>
          </w:tcPr>
          <w:p>
            <w:pPr>
              <w:ind w:left="520"/>
              <w:spacing w:after="0"/>
              <w:rPr>
                <w:sz w:val="20"/>
                <w:szCs w:val="20"/>
                <w:color w:val="auto"/>
              </w:rPr>
            </w:pPr>
            <w:r>
              <w:rPr>
                <w:rFonts w:ascii="Arial" w:cs="Arial" w:eastAsia="Arial" w:hAnsi="Arial"/>
                <w:sz w:val="18"/>
                <w:szCs w:val="18"/>
                <w:color w:val="auto"/>
              </w:rPr>
              <w:t>Net gains on sales of securities</w:t>
            </w:r>
          </w:p>
        </w:tc>
        <w:tc>
          <w:tcPr>
            <w:tcW w:w="200" w:type="dxa"/>
            <w:vAlign w:val="bottom"/>
            <w:shd w:val="clear" w:color="auto" w:fill="C0C0C0"/>
          </w:tcPr>
          <w:p>
            <w:pPr>
              <w:spacing w:after="0"/>
              <w:rPr>
                <w:sz w:val="21"/>
                <w:szCs w:val="21"/>
                <w:color w:val="auto"/>
              </w:rPr>
            </w:pPr>
          </w:p>
        </w:tc>
        <w:tc>
          <w:tcPr>
            <w:tcW w:w="8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9180" w:type="dxa"/>
            <w:vAlign w:val="bottom"/>
          </w:tcPr>
          <w:p>
            <w:pPr>
              <w:ind w:left="520"/>
              <w:spacing w:after="0"/>
              <w:rPr>
                <w:sz w:val="20"/>
                <w:szCs w:val="20"/>
                <w:color w:val="auto"/>
              </w:rPr>
            </w:pPr>
            <w:r>
              <w:rPr>
                <w:rFonts w:ascii="Arial" w:cs="Arial" w:eastAsia="Arial" w:hAnsi="Arial"/>
                <w:sz w:val="18"/>
                <w:szCs w:val="18"/>
                <w:color w:val="auto"/>
              </w:rPr>
              <w:t>Stock-based compensation expense</w:t>
            </w:r>
          </w:p>
        </w:tc>
        <w:tc>
          <w:tcPr>
            <w:tcW w:w="200" w:type="dxa"/>
            <w:vAlign w:val="bottom"/>
          </w:tcPr>
          <w:p>
            <w:pPr>
              <w:spacing w:after="0"/>
              <w:rPr>
                <w:sz w:val="20"/>
                <w:szCs w:val="20"/>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1,097</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9180" w:type="dxa"/>
            <w:vAlign w:val="bottom"/>
            <w:shd w:val="clear" w:color="auto" w:fill="C0C0C0"/>
          </w:tcPr>
          <w:p>
            <w:pPr>
              <w:ind w:left="520"/>
              <w:spacing w:after="0"/>
              <w:rPr>
                <w:sz w:val="20"/>
                <w:szCs w:val="20"/>
                <w:color w:val="auto"/>
              </w:rPr>
            </w:pPr>
            <w:r>
              <w:rPr>
                <w:rFonts w:ascii="Arial" w:cs="Arial" w:eastAsia="Arial" w:hAnsi="Arial"/>
                <w:sz w:val="18"/>
                <w:szCs w:val="18"/>
                <w:color w:val="auto"/>
              </w:rPr>
              <w:t>Provision for loan losses</w:t>
            </w:r>
          </w:p>
        </w:tc>
        <w:tc>
          <w:tcPr>
            <w:tcW w:w="200" w:type="dxa"/>
            <w:vAlign w:val="bottom"/>
            <w:shd w:val="clear" w:color="auto" w:fill="C0C0C0"/>
          </w:tcPr>
          <w:p>
            <w:pPr>
              <w:spacing w:after="0"/>
              <w:rPr>
                <w:sz w:val="21"/>
                <w:szCs w:val="21"/>
                <w:color w:val="auto"/>
              </w:rPr>
            </w:pPr>
          </w:p>
        </w:tc>
        <w:tc>
          <w:tcPr>
            <w:tcW w:w="8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9180" w:type="dxa"/>
            <w:vAlign w:val="bottom"/>
          </w:tcPr>
          <w:p>
            <w:pPr>
              <w:ind w:left="520"/>
              <w:spacing w:after="0"/>
              <w:rPr>
                <w:sz w:val="20"/>
                <w:szCs w:val="20"/>
                <w:color w:val="auto"/>
              </w:rPr>
            </w:pPr>
            <w:r>
              <w:rPr>
                <w:rFonts w:ascii="Arial" w:cs="Arial" w:eastAsia="Arial" w:hAnsi="Arial"/>
                <w:sz w:val="18"/>
                <w:szCs w:val="18"/>
                <w:color w:val="auto"/>
              </w:rPr>
              <w:t>Decrease in income tax benefit</w:t>
            </w:r>
          </w:p>
        </w:tc>
        <w:tc>
          <w:tcPr>
            <w:tcW w:w="200" w:type="dxa"/>
            <w:vAlign w:val="bottom"/>
          </w:tcPr>
          <w:p>
            <w:pPr>
              <w:spacing w:after="0"/>
              <w:rPr>
                <w:sz w:val="20"/>
                <w:szCs w:val="20"/>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9180" w:type="dxa"/>
            <w:vAlign w:val="bottom"/>
            <w:shd w:val="clear" w:color="auto" w:fill="C0C0C0"/>
          </w:tcPr>
          <w:p>
            <w:pPr>
              <w:ind w:left="520"/>
              <w:spacing w:after="0"/>
              <w:rPr>
                <w:sz w:val="20"/>
                <w:szCs w:val="20"/>
                <w:color w:val="auto"/>
              </w:rPr>
            </w:pPr>
            <w:r>
              <w:rPr>
                <w:rFonts w:ascii="Arial" w:cs="Arial" w:eastAsia="Arial" w:hAnsi="Arial"/>
                <w:sz w:val="18"/>
                <w:szCs w:val="18"/>
                <w:color w:val="auto"/>
              </w:rPr>
              <w:t>Increase in income tax liability</w:t>
            </w:r>
          </w:p>
        </w:tc>
        <w:tc>
          <w:tcPr>
            <w:tcW w:w="200" w:type="dxa"/>
            <w:vAlign w:val="bottom"/>
            <w:shd w:val="clear" w:color="auto" w:fill="C0C0C0"/>
          </w:tcPr>
          <w:p>
            <w:pPr>
              <w:spacing w:after="0"/>
              <w:rPr>
                <w:sz w:val="21"/>
                <w:szCs w:val="21"/>
                <w:color w:val="auto"/>
              </w:rPr>
            </w:pPr>
          </w:p>
        </w:tc>
        <w:tc>
          <w:tcPr>
            <w:tcW w:w="8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748</w:t>
            </w:r>
          </w:p>
        </w:tc>
        <w:tc>
          <w:tcPr>
            <w:tcW w:w="26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1,325</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9180" w:type="dxa"/>
            <w:vAlign w:val="bottom"/>
          </w:tcPr>
          <w:p>
            <w:pPr>
              <w:ind w:left="520"/>
              <w:spacing w:after="0"/>
              <w:rPr>
                <w:sz w:val="20"/>
                <w:szCs w:val="20"/>
                <w:color w:val="auto"/>
              </w:rPr>
            </w:pPr>
            <w:r>
              <w:rPr>
                <w:rFonts w:ascii="Arial" w:cs="Arial" w:eastAsia="Arial" w:hAnsi="Arial"/>
                <w:sz w:val="18"/>
                <w:szCs w:val="18"/>
                <w:color w:val="auto"/>
              </w:rPr>
              <w:t>Increase in pension liability</w:t>
            </w:r>
          </w:p>
        </w:tc>
        <w:tc>
          <w:tcPr>
            <w:tcW w:w="200" w:type="dxa"/>
            <w:vAlign w:val="bottom"/>
          </w:tcPr>
          <w:p>
            <w:pPr>
              <w:spacing w:after="0"/>
              <w:rPr>
                <w:sz w:val="20"/>
                <w:szCs w:val="20"/>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2,310</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9180" w:type="dxa"/>
            <w:vAlign w:val="bottom"/>
            <w:shd w:val="clear" w:color="auto" w:fill="C0C0C0"/>
          </w:tcPr>
          <w:p>
            <w:pPr>
              <w:ind w:left="520"/>
              <w:spacing w:after="0"/>
              <w:rPr>
                <w:sz w:val="20"/>
                <w:szCs w:val="20"/>
                <w:color w:val="auto"/>
              </w:rPr>
            </w:pPr>
            <w:r>
              <w:rPr>
                <w:rFonts w:ascii="Arial" w:cs="Arial" w:eastAsia="Arial" w:hAnsi="Arial"/>
                <w:sz w:val="18"/>
                <w:szCs w:val="18"/>
                <w:color w:val="auto"/>
              </w:rPr>
              <w:t>Other operating activities, net</w:t>
            </w:r>
          </w:p>
        </w:tc>
        <w:tc>
          <w:tcPr>
            <w:tcW w:w="200" w:type="dxa"/>
            <w:vAlign w:val="bottom"/>
            <w:tcBorders>
              <w:bottom w:val="single" w:sz="8" w:color="auto"/>
            </w:tcBorders>
            <w:shd w:val="clear" w:color="auto" w:fill="C0C0C0"/>
          </w:tcPr>
          <w:p>
            <w:pPr>
              <w:spacing w:after="0"/>
              <w:rPr>
                <w:sz w:val="21"/>
                <w:szCs w:val="21"/>
                <w:color w:val="auto"/>
              </w:rPr>
            </w:pPr>
          </w:p>
        </w:tc>
        <w:tc>
          <w:tcPr>
            <w:tcW w:w="8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(978)</w:t>
            </w:r>
          </w:p>
        </w:tc>
        <w:tc>
          <w:tcPr>
            <w:tcW w:w="260" w:type="dxa"/>
            <w:vAlign w:val="bottom"/>
            <w:shd w:val="clear" w:color="auto" w:fill="C0C0C0"/>
          </w:tcPr>
          <w:p>
            <w:pPr>
              <w:spacing w:after="0"/>
              <w:rPr>
                <w:sz w:val="21"/>
                <w:szCs w:val="21"/>
                <w:color w:val="auto"/>
              </w:rPr>
            </w:pPr>
          </w:p>
        </w:tc>
        <w:tc>
          <w:tcPr>
            <w:tcW w:w="240" w:type="dxa"/>
            <w:vAlign w:val="bottom"/>
            <w:tcBorders>
              <w:bottom w:val="single" w:sz="8" w:color="auto"/>
            </w:tcBorders>
            <w:shd w:val="clear" w:color="auto" w:fill="C0C0C0"/>
          </w:tcPr>
          <w:p>
            <w:pPr>
              <w:spacing w:after="0"/>
              <w:rPr>
                <w:sz w:val="21"/>
                <w:szCs w:val="21"/>
                <w:color w:val="auto"/>
              </w:rPr>
            </w:pPr>
          </w:p>
        </w:tc>
        <w:tc>
          <w:tcPr>
            <w:tcW w:w="7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(1,512)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80" w:type="dxa"/>
            <w:vAlign w:val="bottom"/>
          </w:tcPr>
          <w:p>
            <w:pPr>
              <w:ind w:left="520"/>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21,468</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17,752</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9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918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72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9200" w:type="dxa"/>
            <w:vAlign w:val="bottom"/>
            <w:gridSpan w:val="2"/>
          </w:tcPr>
          <w:p>
            <w:pPr>
              <w:spacing w:after="0"/>
              <w:rPr>
                <w:sz w:val="20"/>
                <w:szCs w:val="20"/>
                <w:color w:val="auto"/>
              </w:rPr>
            </w:pPr>
            <w:r>
              <w:rPr>
                <w:rFonts w:ascii="Arial" w:cs="Arial" w:eastAsia="Arial" w:hAnsi="Arial"/>
                <w:sz w:val="18"/>
                <w:szCs w:val="18"/>
                <w:color w:val="auto"/>
              </w:rPr>
              <w:t>Proceeds from sales of securities available-for-sale</w:t>
            </w:r>
          </w:p>
        </w:tc>
        <w:tc>
          <w:tcPr>
            <w:tcW w:w="200" w:type="dxa"/>
            <w:vAlign w:val="bottom"/>
          </w:tcPr>
          <w:p>
            <w:pPr>
              <w:spacing w:after="0"/>
              <w:rPr>
                <w:sz w:val="20"/>
                <w:szCs w:val="20"/>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21,491</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9180" w:type="dxa"/>
            <w:vAlign w:val="bottom"/>
            <w:shd w:val="clear" w:color="auto" w:fill="C0C0C0"/>
          </w:tcPr>
          <w:p>
            <w:pPr>
              <w:spacing w:after="0"/>
              <w:rPr>
                <w:sz w:val="20"/>
                <w:szCs w:val="20"/>
                <w:color w:val="auto"/>
              </w:rPr>
            </w:pPr>
            <w:r>
              <w:rPr>
                <w:rFonts w:ascii="Arial" w:cs="Arial" w:eastAsia="Arial" w:hAnsi="Arial"/>
                <w:sz w:val="18"/>
                <w:szCs w:val="18"/>
                <w:color w:val="auto"/>
              </w:rPr>
              <w:t>Proceeds from maturities of securities available-for-sale</w:t>
            </w:r>
          </w:p>
        </w:tc>
        <w:tc>
          <w:tcPr>
            <w:tcW w:w="200" w:type="dxa"/>
            <w:vAlign w:val="bottom"/>
            <w:shd w:val="clear" w:color="auto" w:fill="C0C0C0"/>
          </w:tcPr>
          <w:p>
            <w:pPr>
              <w:spacing w:after="0"/>
              <w:rPr>
                <w:sz w:val="21"/>
                <w:szCs w:val="21"/>
                <w:color w:val="auto"/>
              </w:rPr>
            </w:pPr>
          </w:p>
        </w:tc>
        <w:tc>
          <w:tcPr>
            <w:tcW w:w="8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25,694</w:t>
            </w:r>
          </w:p>
        </w:tc>
        <w:tc>
          <w:tcPr>
            <w:tcW w:w="26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19,609</w:t>
            </w:r>
          </w:p>
        </w:tc>
        <w:tc>
          <w:tcPr>
            <w:tcW w:w="0" w:type="dxa"/>
            <w:vAlign w:val="bottom"/>
          </w:tcPr>
          <w:p>
            <w:pPr>
              <w:spacing w:after="0"/>
              <w:rPr>
                <w:sz w:val="1"/>
                <w:szCs w:val="1"/>
                <w:color w:val="auto"/>
              </w:rPr>
            </w:pPr>
          </w:p>
        </w:tc>
      </w:tr>
      <w:tr>
        <w:trPr>
          <w:trHeight w:val="235"/>
        </w:trPr>
        <w:tc>
          <w:tcPr>
            <w:tcW w:w="9200" w:type="dxa"/>
            <w:vAlign w:val="bottom"/>
            <w:gridSpan w:val="2"/>
          </w:tcPr>
          <w:p>
            <w:pPr>
              <w:spacing w:after="0"/>
              <w:rPr>
                <w:sz w:val="20"/>
                <w:szCs w:val="20"/>
                <w:color w:val="auto"/>
              </w:rPr>
            </w:pPr>
            <w:r>
              <w:rPr>
                <w:rFonts w:ascii="Arial" w:cs="Arial" w:eastAsia="Arial" w:hAnsi="Arial"/>
                <w:sz w:val="18"/>
                <w:szCs w:val="18"/>
                <w:color w:val="auto"/>
              </w:rPr>
              <w:t>Purchase of securities available-for-sale</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(62,279)</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(28,053)</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9180" w:type="dxa"/>
            <w:vAlign w:val="bottom"/>
            <w:shd w:val="clear" w:color="auto" w:fill="C0C0C0"/>
          </w:tcPr>
          <w:p>
            <w:pPr>
              <w:spacing w:after="0"/>
              <w:rPr>
                <w:sz w:val="20"/>
                <w:szCs w:val="20"/>
                <w:color w:val="auto"/>
              </w:rPr>
            </w:pPr>
            <w:r>
              <w:rPr>
                <w:rFonts w:ascii="Arial" w:cs="Arial" w:eastAsia="Arial" w:hAnsi="Arial"/>
                <w:sz w:val="18"/>
                <w:szCs w:val="18"/>
                <w:color w:val="auto"/>
              </w:rPr>
              <w:t>Net increase in loans</w:t>
            </w:r>
          </w:p>
        </w:tc>
        <w:tc>
          <w:tcPr>
            <w:tcW w:w="200" w:type="dxa"/>
            <w:vAlign w:val="bottom"/>
            <w:shd w:val="clear" w:color="auto" w:fill="C0C0C0"/>
          </w:tcPr>
          <w:p>
            <w:pPr>
              <w:spacing w:after="0"/>
              <w:rPr>
                <w:sz w:val="21"/>
                <w:szCs w:val="21"/>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(6,796)</w:t>
            </w:r>
          </w:p>
        </w:tc>
        <w:tc>
          <w:tcPr>
            <w:tcW w:w="26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(39,042)</w:t>
            </w:r>
          </w:p>
        </w:tc>
        <w:tc>
          <w:tcPr>
            <w:tcW w:w="0" w:type="dxa"/>
            <w:vAlign w:val="bottom"/>
          </w:tcPr>
          <w:p>
            <w:pPr>
              <w:spacing w:after="0"/>
              <w:rPr>
                <w:sz w:val="1"/>
                <w:szCs w:val="1"/>
                <w:color w:val="auto"/>
              </w:rPr>
            </w:pPr>
          </w:p>
        </w:tc>
      </w:tr>
      <w:tr>
        <w:trPr>
          <w:trHeight w:val="235"/>
        </w:trPr>
        <w:tc>
          <w:tcPr>
            <w:tcW w:w="9200" w:type="dxa"/>
            <w:vAlign w:val="bottom"/>
            <w:gridSpan w:val="2"/>
          </w:tcPr>
          <w:p>
            <w:pPr>
              <w:spacing w:after="0"/>
              <w:rPr>
                <w:sz w:val="20"/>
                <w:szCs w:val="20"/>
                <w:color w:val="auto"/>
              </w:rPr>
            </w:pPr>
            <w:r>
              <w:rPr>
                <w:rFonts w:ascii="Arial" w:cs="Arial" w:eastAsia="Arial" w:hAnsi="Arial"/>
                <w:sz w:val="18"/>
                <w:szCs w:val="18"/>
                <w:color w:val="auto"/>
              </w:rPr>
              <w:t>Increase in payments in excess of funding</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(6,088)</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(11,674)</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9180" w:type="dxa"/>
            <w:vAlign w:val="bottom"/>
            <w:shd w:val="clear" w:color="auto" w:fill="C0C0C0"/>
          </w:tcPr>
          <w:p>
            <w:pPr>
              <w:spacing w:after="0"/>
              <w:rPr>
                <w:sz w:val="20"/>
                <w:szCs w:val="20"/>
                <w:color w:val="auto"/>
              </w:rPr>
            </w:pPr>
            <w:r>
              <w:rPr>
                <w:rFonts w:ascii="Arial" w:cs="Arial" w:eastAsia="Arial" w:hAnsi="Arial"/>
                <w:sz w:val="18"/>
                <w:szCs w:val="18"/>
                <w:color w:val="auto"/>
              </w:rPr>
              <w:t>Purchases of premises and equipment, net</w:t>
            </w:r>
          </w:p>
        </w:tc>
        <w:tc>
          <w:tcPr>
            <w:tcW w:w="200" w:type="dxa"/>
            <w:vAlign w:val="bottom"/>
            <w:tcBorders>
              <w:bottom w:val="single" w:sz="8" w:color="auto"/>
            </w:tcBorders>
            <w:shd w:val="clear" w:color="auto" w:fill="C0C0C0"/>
          </w:tcPr>
          <w:p>
            <w:pPr>
              <w:spacing w:after="0"/>
              <w:rPr>
                <w:sz w:val="21"/>
                <w:szCs w:val="21"/>
                <w:color w:val="auto"/>
              </w:rPr>
            </w:pPr>
          </w:p>
        </w:tc>
        <w:tc>
          <w:tcPr>
            <w:tcW w:w="8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(1,935)</w:t>
            </w:r>
          </w:p>
        </w:tc>
        <w:tc>
          <w:tcPr>
            <w:tcW w:w="260" w:type="dxa"/>
            <w:vAlign w:val="bottom"/>
            <w:shd w:val="clear" w:color="auto" w:fill="C0C0C0"/>
          </w:tcPr>
          <w:p>
            <w:pPr>
              <w:spacing w:after="0"/>
              <w:rPr>
                <w:sz w:val="21"/>
                <w:szCs w:val="21"/>
                <w:color w:val="auto"/>
              </w:rPr>
            </w:pPr>
          </w:p>
        </w:tc>
        <w:tc>
          <w:tcPr>
            <w:tcW w:w="240" w:type="dxa"/>
            <w:vAlign w:val="bottom"/>
            <w:tcBorders>
              <w:bottom w:val="single" w:sz="8" w:color="auto"/>
            </w:tcBorders>
            <w:shd w:val="clear" w:color="auto" w:fill="C0C0C0"/>
          </w:tcPr>
          <w:p>
            <w:pPr>
              <w:spacing w:after="0"/>
              <w:rPr>
                <w:sz w:val="21"/>
                <w:szCs w:val="21"/>
                <w:color w:val="auto"/>
              </w:rPr>
            </w:pPr>
          </w:p>
        </w:tc>
        <w:tc>
          <w:tcPr>
            <w:tcW w:w="7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(2,631)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80" w:type="dxa"/>
            <w:vAlign w:val="bottom"/>
          </w:tcPr>
          <w:p>
            <w:pPr>
              <w:ind w:left="260"/>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(51,404)</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(40,300)</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9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918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72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9200" w:type="dxa"/>
            <w:vAlign w:val="bottom"/>
            <w:gridSpan w:val="2"/>
          </w:tcPr>
          <w:p>
            <w:pPr>
              <w:spacing w:after="0"/>
              <w:rPr>
                <w:sz w:val="20"/>
                <w:szCs w:val="20"/>
                <w:color w:val="auto"/>
              </w:rPr>
            </w:pPr>
            <w:r>
              <w:rPr>
                <w:rFonts w:ascii="Arial" w:cs="Arial" w:eastAsia="Arial" w:hAnsi="Arial"/>
                <w:sz w:val="18"/>
                <w:szCs w:val="18"/>
                <w:color w:val="auto"/>
              </w:rPr>
              <w:t>Net (decrease) increase in noninterest-bearing demand deposits</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(12,714)</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13,813</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9180" w:type="dxa"/>
            <w:vAlign w:val="bottom"/>
            <w:shd w:val="clear" w:color="auto" w:fill="C0C0C0"/>
          </w:tcPr>
          <w:p>
            <w:pPr>
              <w:spacing w:after="0"/>
              <w:rPr>
                <w:sz w:val="20"/>
                <w:szCs w:val="20"/>
                <w:color w:val="auto"/>
              </w:rPr>
            </w:pPr>
            <w:r>
              <w:rPr>
                <w:rFonts w:ascii="Arial" w:cs="Arial" w:eastAsia="Arial" w:hAnsi="Arial"/>
                <w:sz w:val="18"/>
                <w:szCs w:val="18"/>
                <w:color w:val="auto"/>
              </w:rPr>
              <w:t>Net decrease in interest-bearing demand and savings deposits</w:t>
            </w:r>
          </w:p>
        </w:tc>
        <w:tc>
          <w:tcPr>
            <w:tcW w:w="200" w:type="dxa"/>
            <w:vAlign w:val="bottom"/>
            <w:shd w:val="clear" w:color="auto" w:fill="C0C0C0"/>
          </w:tcPr>
          <w:p>
            <w:pPr>
              <w:spacing w:after="0"/>
              <w:rPr>
                <w:sz w:val="21"/>
                <w:szCs w:val="21"/>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(1,077)</w:t>
            </w:r>
          </w:p>
        </w:tc>
        <w:tc>
          <w:tcPr>
            <w:tcW w:w="26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(27,575)</w:t>
            </w:r>
          </w:p>
        </w:tc>
        <w:tc>
          <w:tcPr>
            <w:tcW w:w="0" w:type="dxa"/>
            <w:vAlign w:val="bottom"/>
          </w:tcPr>
          <w:p>
            <w:pPr>
              <w:spacing w:after="0"/>
              <w:rPr>
                <w:sz w:val="1"/>
                <w:szCs w:val="1"/>
                <w:color w:val="auto"/>
              </w:rPr>
            </w:pPr>
          </w:p>
        </w:tc>
      </w:tr>
      <w:tr>
        <w:trPr>
          <w:trHeight w:val="235"/>
        </w:trPr>
        <w:tc>
          <w:tcPr>
            <w:tcW w:w="9200" w:type="dxa"/>
            <w:vAlign w:val="bottom"/>
            <w:gridSpan w:val="2"/>
          </w:tcPr>
          <w:p>
            <w:pPr>
              <w:spacing w:after="0"/>
              <w:rPr>
                <w:sz w:val="20"/>
                <w:szCs w:val="20"/>
                <w:color w:val="auto"/>
              </w:rPr>
            </w:pPr>
            <w:r>
              <w:rPr>
                <w:rFonts w:ascii="Arial" w:cs="Arial" w:eastAsia="Arial" w:hAnsi="Arial"/>
                <w:sz w:val="18"/>
                <w:szCs w:val="18"/>
                <w:color w:val="auto"/>
              </w:rPr>
              <w:t>Net decrease in time deposits</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(3,131)</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(1,728)</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9180" w:type="dxa"/>
            <w:vAlign w:val="bottom"/>
            <w:shd w:val="clear" w:color="auto" w:fill="C0C0C0"/>
          </w:tcPr>
          <w:p>
            <w:pPr>
              <w:spacing w:after="0"/>
              <w:rPr>
                <w:sz w:val="20"/>
                <w:szCs w:val="20"/>
                <w:color w:val="auto"/>
              </w:rPr>
            </w:pPr>
            <w:r>
              <w:rPr>
                <w:rFonts w:ascii="Arial" w:cs="Arial" w:eastAsia="Arial" w:hAnsi="Arial"/>
                <w:sz w:val="18"/>
                <w:szCs w:val="18"/>
                <w:color w:val="auto"/>
              </w:rPr>
              <w:t>Net increase in accounts and drafts payable</w:t>
            </w:r>
          </w:p>
        </w:tc>
        <w:tc>
          <w:tcPr>
            <w:tcW w:w="200" w:type="dxa"/>
            <w:vAlign w:val="bottom"/>
            <w:shd w:val="clear" w:color="auto" w:fill="C0C0C0"/>
          </w:tcPr>
          <w:p>
            <w:pPr>
              <w:spacing w:after="0"/>
              <w:rPr>
                <w:sz w:val="21"/>
                <w:szCs w:val="21"/>
                <w:color w:val="auto"/>
              </w:rPr>
            </w:pPr>
          </w:p>
        </w:tc>
        <w:tc>
          <w:tcPr>
            <w:tcW w:w="8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87,116</w:t>
            </w:r>
          </w:p>
        </w:tc>
        <w:tc>
          <w:tcPr>
            <w:tcW w:w="26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73,729</w:t>
            </w:r>
          </w:p>
        </w:tc>
        <w:tc>
          <w:tcPr>
            <w:tcW w:w="0" w:type="dxa"/>
            <w:vAlign w:val="bottom"/>
          </w:tcPr>
          <w:p>
            <w:pPr>
              <w:spacing w:after="0"/>
              <w:rPr>
                <w:sz w:val="1"/>
                <w:szCs w:val="1"/>
                <w:color w:val="auto"/>
              </w:rPr>
            </w:pPr>
          </w:p>
        </w:tc>
      </w:tr>
      <w:tr>
        <w:trPr>
          <w:trHeight w:val="235"/>
        </w:trPr>
        <w:tc>
          <w:tcPr>
            <w:tcW w:w="9200" w:type="dxa"/>
            <w:vAlign w:val="bottom"/>
            <w:gridSpan w:val="2"/>
          </w:tcPr>
          <w:p>
            <w:pPr>
              <w:spacing w:after="0"/>
              <w:rPr>
                <w:sz w:val="20"/>
                <w:szCs w:val="20"/>
                <w:color w:val="auto"/>
              </w:rPr>
            </w:pPr>
            <w:r>
              <w:rPr>
                <w:rFonts w:ascii="Arial" w:cs="Arial" w:eastAsia="Arial" w:hAnsi="Arial"/>
                <w:sz w:val="18"/>
                <w:szCs w:val="18"/>
                <w:color w:val="auto"/>
              </w:rPr>
              <w:t>Cash dividends paid</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(5,151)</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(4,947)</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9180" w:type="dxa"/>
            <w:vAlign w:val="bottom"/>
            <w:shd w:val="clear" w:color="auto" w:fill="C0C0C0"/>
          </w:tcPr>
          <w:p>
            <w:pPr>
              <w:spacing w:after="0"/>
              <w:rPr>
                <w:sz w:val="20"/>
                <w:szCs w:val="20"/>
                <w:color w:val="auto"/>
              </w:rPr>
            </w:pPr>
            <w:r>
              <w:rPr>
                <w:rFonts w:ascii="Arial" w:cs="Arial" w:eastAsia="Arial" w:hAnsi="Arial"/>
                <w:sz w:val="18"/>
                <w:szCs w:val="18"/>
                <w:color w:val="auto"/>
              </w:rPr>
              <w:t>Purchase of common shares for treasury</w:t>
            </w:r>
          </w:p>
        </w:tc>
        <w:tc>
          <w:tcPr>
            <w:tcW w:w="200" w:type="dxa"/>
            <w:vAlign w:val="bottom"/>
            <w:shd w:val="clear" w:color="auto" w:fill="C0C0C0"/>
          </w:tcPr>
          <w:p>
            <w:pPr>
              <w:spacing w:after="0"/>
              <w:rPr>
                <w:sz w:val="21"/>
                <w:szCs w:val="21"/>
                <w:color w:val="auto"/>
              </w:rPr>
            </w:pPr>
          </w:p>
        </w:tc>
        <w:tc>
          <w:tcPr>
            <w:tcW w:w="8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(9,217)</w:t>
            </w:r>
          </w:p>
        </w:tc>
        <w:tc>
          <w:tcPr>
            <w:tcW w:w="0" w:type="dxa"/>
            <w:vAlign w:val="bottom"/>
          </w:tcPr>
          <w:p>
            <w:pPr>
              <w:spacing w:after="0"/>
              <w:rPr>
                <w:sz w:val="1"/>
                <w:szCs w:val="1"/>
                <w:color w:val="auto"/>
              </w:rPr>
            </w:pPr>
          </w:p>
        </w:tc>
      </w:tr>
      <w:tr>
        <w:trPr>
          <w:trHeight w:val="237"/>
        </w:trPr>
        <w:tc>
          <w:tcPr>
            <w:tcW w:w="9200" w:type="dxa"/>
            <w:vAlign w:val="bottom"/>
            <w:gridSpan w:val="2"/>
          </w:tcPr>
          <w:p>
            <w:pPr>
              <w:spacing w:after="0"/>
              <w:rPr>
                <w:sz w:val="20"/>
                <w:szCs w:val="20"/>
                <w:color w:val="auto"/>
              </w:rPr>
            </w:pPr>
            <w:r>
              <w:rPr>
                <w:rFonts w:ascii="Arial" w:cs="Arial" w:eastAsia="Arial" w:hAnsi="Arial"/>
                <w:sz w:val="18"/>
                <w:szCs w:val="18"/>
                <w:color w:val="auto"/>
              </w:rPr>
              <w:t>Other financing activities, net</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(790)</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180" w:type="dxa"/>
            <w:vAlign w:val="bottom"/>
            <w:tcBorders>
              <w:top w:val="single" w:sz="8" w:color="C0C0C0"/>
            </w:tcBorders>
            <w:shd w:val="clear" w:color="auto" w:fill="C0C0C0"/>
          </w:tcPr>
          <w:p>
            <w:pPr>
              <w:ind w:left="520"/>
              <w:spacing w:after="0"/>
              <w:rPr>
                <w:sz w:val="20"/>
                <w:szCs w:val="20"/>
                <w:color w:val="auto"/>
              </w:rPr>
            </w:pPr>
            <w:r>
              <w:rPr>
                <w:rFonts w:ascii="Arial" w:cs="Arial" w:eastAsia="Arial" w:hAnsi="Arial"/>
                <w:sz w:val="18"/>
                <w:szCs w:val="18"/>
                <w:color w:val="auto"/>
              </w:rPr>
              <w:t>Net cash provided by financing activities</w:t>
            </w:r>
          </w:p>
        </w:tc>
        <w:tc>
          <w:tcPr>
            <w:tcW w:w="200" w:type="dxa"/>
            <w:vAlign w:val="bottom"/>
            <w:tcBorders>
              <w:top w:val="single" w:sz="8" w:color="auto"/>
              <w:bottom w:val="single" w:sz="8" w:color="auto"/>
            </w:tcBorders>
            <w:shd w:val="clear" w:color="auto" w:fill="C0C0C0"/>
          </w:tcPr>
          <w:p>
            <w:pPr>
              <w:spacing w:after="0"/>
              <w:rPr>
                <w:sz w:val="21"/>
                <w:szCs w:val="21"/>
                <w:color w:val="auto"/>
              </w:rPr>
            </w:pPr>
          </w:p>
        </w:tc>
        <w:tc>
          <w:tcPr>
            <w:tcW w:w="800" w:type="dxa"/>
            <w:vAlign w:val="bottom"/>
            <w:tcBorders>
              <w:top w:val="single" w:sz="8" w:color="auto"/>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64,253</w:t>
            </w:r>
          </w:p>
        </w:tc>
        <w:tc>
          <w:tcPr>
            <w:tcW w:w="260" w:type="dxa"/>
            <w:vAlign w:val="bottom"/>
            <w:tcBorders>
              <w:top w:val="single" w:sz="8" w:color="C0C0C0"/>
            </w:tcBorders>
            <w:shd w:val="clear" w:color="auto" w:fill="C0C0C0"/>
          </w:tcPr>
          <w:p>
            <w:pPr>
              <w:spacing w:after="0"/>
              <w:rPr>
                <w:sz w:val="21"/>
                <w:szCs w:val="21"/>
                <w:color w:val="auto"/>
              </w:rPr>
            </w:pPr>
          </w:p>
        </w:tc>
        <w:tc>
          <w:tcPr>
            <w:tcW w:w="240" w:type="dxa"/>
            <w:vAlign w:val="bottom"/>
            <w:tcBorders>
              <w:top w:val="single" w:sz="8" w:color="auto"/>
              <w:bottom w:val="single" w:sz="8" w:color="auto"/>
            </w:tcBorders>
            <w:shd w:val="clear" w:color="auto" w:fill="C0C0C0"/>
          </w:tcPr>
          <w:p>
            <w:pPr>
              <w:spacing w:after="0"/>
              <w:rPr>
                <w:sz w:val="21"/>
                <w:szCs w:val="21"/>
                <w:color w:val="auto"/>
              </w:rPr>
            </w:pPr>
          </w:p>
        </w:tc>
        <w:tc>
          <w:tcPr>
            <w:tcW w:w="72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43,509</w:t>
            </w:r>
          </w:p>
        </w:tc>
        <w:tc>
          <w:tcPr>
            <w:tcW w:w="0" w:type="dxa"/>
            <w:vAlign w:val="bottom"/>
          </w:tcPr>
          <w:p>
            <w:pPr>
              <w:spacing w:after="0"/>
              <w:rPr>
                <w:sz w:val="1"/>
                <w:szCs w:val="1"/>
                <w:color w:val="auto"/>
              </w:rPr>
            </w:pPr>
          </w:p>
        </w:tc>
      </w:tr>
      <w:tr>
        <w:trPr>
          <w:trHeight w:val="229"/>
        </w:trPr>
        <w:tc>
          <w:tcPr>
            <w:tcW w:w="9200" w:type="dxa"/>
            <w:vAlign w:val="bottom"/>
            <w:gridSpan w:val="2"/>
          </w:tcPr>
          <w:p>
            <w:pPr>
              <w:spacing w:after="0"/>
              <w:rPr>
                <w:sz w:val="20"/>
                <w:szCs w:val="20"/>
                <w:color w:val="auto"/>
              </w:rPr>
            </w:pPr>
            <w:r>
              <w:rPr>
                <w:rFonts w:ascii="Arial" w:cs="Arial" w:eastAsia="Arial" w:hAnsi="Arial"/>
                <w:sz w:val="18"/>
                <w:szCs w:val="18"/>
                <w:color w:val="auto"/>
              </w:rPr>
              <w:t>Net increase in cash and cash equivalents</w:t>
            </w:r>
          </w:p>
        </w:tc>
        <w:tc>
          <w:tcPr>
            <w:tcW w:w="200" w:type="dxa"/>
            <w:vAlign w:val="bottom"/>
          </w:tcPr>
          <w:p>
            <w:pPr>
              <w:spacing w:after="0"/>
              <w:rPr>
                <w:sz w:val="19"/>
                <w:szCs w:val="19"/>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34,317</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20,961</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9180" w:type="dxa"/>
            <w:vAlign w:val="bottom"/>
            <w:shd w:val="clear" w:color="auto" w:fill="C0C0C0"/>
          </w:tcPr>
          <w:p>
            <w:pPr>
              <w:spacing w:after="0"/>
              <w:rPr>
                <w:sz w:val="20"/>
                <w:szCs w:val="20"/>
                <w:color w:val="auto"/>
              </w:rPr>
            </w:pPr>
            <w:r>
              <w:rPr>
                <w:rFonts w:ascii="Arial" w:cs="Arial" w:eastAsia="Arial" w:hAnsi="Arial"/>
                <w:sz w:val="18"/>
                <w:szCs w:val="18"/>
                <w:color w:val="auto"/>
              </w:rPr>
              <w:t>Cash and cash equivalents at beginning of period</w:t>
            </w:r>
          </w:p>
        </w:tc>
        <w:tc>
          <w:tcPr>
            <w:tcW w:w="200" w:type="dxa"/>
            <w:vAlign w:val="bottom"/>
            <w:tcBorders>
              <w:bottom w:val="single" w:sz="8" w:color="auto"/>
            </w:tcBorders>
            <w:shd w:val="clear" w:color="auto" w:fill="C0C0C0"/>
          </w:tcPr>
          <w:p>
            <w:pPr>
              <w:spacing w:after="0"/>
              <w:rPr>
                <w:sz w:val="21"/>
                <w:szCs w:val="21"/>
                <w:color w:val="auto"/>
              </w:rPr>
            </w:pPr>
          </w:p>
        </w:tc>
        <w:tc>
          <w:tcPr>
            <w:tcW w:w="80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266,743</w:t>
            </w:r>
          </w:p>
        </w:tc>
        <w:tc>
          <w:tcPr>
            <w:tcW w:w="260" w:type="dxa"/>
            <w:vAlign w:val="bottom"/>
            <w:shd w:val="clear" w:color="auto" w:fill="C0C0C0"/>
          </w:tcPr>
          <w:p>
            <w:pPr>
              <w:spacing w:after="0"/>
              <w:rPr>
                <w:sz w:val="21"/>
                <w:szCs w:val="21"/>
                <w:color w:val="auto"/>
              </w:rPr>
            </w:pPr>
          </w:p>
        </w:tc>
        <w:tc>
          <w:tcPr>
            <w:tcW w:w="240" w:type="dxa"/>
            <w:vAlign w:val="bottom"/>
            <w:tcBorders>
              <w:bottom w:val="single" w:sz="8" w:color="auto"/>
            </w:tcBorders>
            <w:shd w:val="clear" w:color="auto" w:fill="C0C0C0"/>
          </w:tcPr>
          <w:p>
            <w:pPr>
              <w:spacing w:after="0"/>
              <w:rPr>
                <w:sz w:val="21"/>
                <w:szCs w:val="21"/>
                <w:color w:val="auto"/>
              </w:rPr>
            </w:pPr>
          </w:p>
        </w:tc>
        <w:tc>
          <w:tcPr>
            <w:tcW w:w="7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98"/>
              </w:rPr>
              <w:t>253,172</w:t>
            </w:r>
          </w:p>
        </w:tc>
        <w:tc>
          <w:tcPr>
            <w:tcW w:w="0" w:type="dxa"/>
            <w:vAlign w:val="bottom"/>
          </w:tcPr>
          <w:p>
            <w:pPr>
              <w:spacing w:after="0"/>
              <w:rPr>
                <w:sz w:val="1"/>
                <w:szCs w:val="1"/>
                <w:color w:val="auto"/>
              </w:rPr>
            </w:pPr>
          </w:p>
        </w:tc>
      </w:tr>
      <w:tr>
        <w:trPr>
          <w:trHeight w:val="250"/>
        </w:trPr>
        <w:tc>
          <w:tcPr>
            <w:tcW w:w="920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301,060</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274,133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1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180" w:type="dxa"/>
            <w:vAlign w:val="bottom"/>
            <w:shd w:val="clear" w:color="auto" w:fill="C0C0C0"/>
          </w:tcPr>
          <w:p>
            <w:pPr>
              <w:spacing w:after="0"/>
              <w:rPr>
                <w:sz w:val="20"/>
                <w:szCs w:val="20"/>
                <w:color w:val="auto"/>
              </w:rPr>
            </w:pPr>
            <w:r>
              <w:rPr>
                <w:rFonts w:ascii="Arial" w:cs="Arial" w:eastAsia="Arial" w:hAnsi="Arial"/>
                <w:sz w:val="18"/>
                <w:szCs w:val="18"/>
                <w:color w:val="auto"/>
              </w:rPr>
              <w:t>Supplemental information:</w:t>
            </w:r>
          </w:p>
        </w:tc>
        <w:tc>
          <w:tcPr>
            <w:tcW w:w="20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72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9180" w:type="dxa"/>
            <w:vAlign w:val="bottom"/>
          </w:tcPr>
          <w:p>
            <w:pPr>
              <w:ind w:left="260"/>
              <w:spacing w:after="0"/>
              <w:rPr>
                <w:sz w:val="20"/>
                <w:szCs w:val="20"/>
                <w:color w:val="auto"/>
              </w:rPr>
            </w:pPr>
            <w:r>
              <w:rPr>
                <w:rFonts w:ascii="Arial" w:cs="Arial" w:eastAsia="Arial" w:hAnsi="Arial"/>
                <w:sz w:val="18"/>
                <w:szCs w:val="18"/>
                <w:color w:val="auto"/>
              </w:rPr>
              <w:t>Cash paid for interest</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956</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9180" w:type="dxa"/>
            <w:vAlign w:val="bottom"/>
            <w:shd w:val="clear" w:color="auto" w:fill="C0C0C0"/>
          </w:tcPr>
          <w:p>
            <w:pPr>
              <w:ind w:left="260"/>
              <w:spacing w:after="0"/>
              <w:rPr>
                <w:sz w:val="20"/>
                <w:szCs w:val="20"/>
                <w:color w:val="auto"/>
              </w:rPr>
            </w:pPr>
            <w:r>
              <w:rPr>
                <w:rFonts w:ascii="Arial" w:cs="Arial" w:eastAsia="Arial" w:hAnsi="Arial"/>
                <w:sz w:val="18"/>
                <w:szCs w:val="18"/>
                <w:color w:val="auto"/>
              </w:rPr>
              <w:t>Cash paid for income taxes</w:t>
            </w:r>
          </w:p>
        </w:tc>
        <w:tc>
          <w:tcPr>
            <w:tcW w:w="200" w:type="dxa"/>
            <w:vAlign w:val="bottom"/>
            <w:shd w:val="clear" w:color="auto" w:fill="C0C0C0"/>
          </w:tcPr>
          <w:p>
            <w:pPr>
              <w:spacing w:after="0"/>
              <w:rPr>
                <w:sz w:val="21"/>
                <w:szCs w:val="21"/>
                <w:color w:val="auto"/>
              </w:rPr>
            </w:pPr>
          </w:p>
        </w:tc>
        <w:tc>
          <w:tcPr>
            <w:tcW w:w="8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3,152</w:t>
            </w:r>
          </w:p>
        </w:tc>
        <w:tc>
          <w:tcPr>
            <w:tcW w:w="26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2,787</w:t>
            </w: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CASS INFORMATION SYSTEMS, INC.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Note 1 - Basis of Presentation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U.S. generally accepted accounting principles for interim financial information and with the instructions to Form 10-Q and Rule 10-01 of Regulation S-X. Accordingly, they do not include all of the information and footnotes required by U.S. generally accepted accounting principles for complete financial statements. In the opinion of management, all adjustments, consisting of normal recurring accruals, considered necessary for a fair presentation have been included. For further information, refer to the audited consolidated financial statements and related footnotes included in Cass Information System, Inc.’s (the “Company” or “Cass”) Annual Report on Form 10-K for the year ended December 31, 2016</w:t>
      </w:r>
      <w:r>
        <w:rPr>
          <w:rFonts w:ascii="Arial" w:cs="Arial" w:eastAsia="Arial" w:hAnsi="Arial"/>
          <w:sz w:val="13"/>
          <w:szCs w:val="13"/>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Note 2 – Intangible Assets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accounts for intangible assets in accordance with Financial Accounting Standards Board (“FASB”) Accounting Standards Codification (“ASC”) 350, “Goodwill and Other Intangible Assets,” (“FASB ASC 350”), which requires that intangibles with indefinite useful lives be tested annually for impairment and those with finite useful lives be amortized over their useful lives.</w:t>
      </w:r>
    </w:p>
    <w:p>
      <w:pPr>
        <w:spacing w:after="0" w:line="19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In March 2017, the Company completed an acquisition and recorded intangible assets of $1,406,000. Those intangible assets were valued as $980,000 for goodwill, $355,000 for the customer list and $71,000 for non-compete agreements.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260" w:type="dxa"/>
            <w:vAlign w:val="bottom"/>
          </w:tcPr>
          <w:p>
            <w:pPr>
              <w:spacing w:after="0"/>
              <w:rPr>
                <w:sz w:val="20"/>
                <w:szCs w:val="20"/>
                <w:color w:val="auto"/>
              </w:rPr>
            </w:pPr>
            <w:r>
              <w:rPr>
                <w:rFonts w:ascii="Arial" w:cs="Arial" w:eastAsia="Arial" w:hAnsi="Arial"/>
                <w:sz w:val="18"/>
                <w:szCs w:val="18"/>
                <w:color w:val="auto"/>
              </w:rPr>
              <w:t>Details of the Company’s intangible assets are as follows:</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55"/>
        </w:trPr>
        <w:tc>
          <w:tcPr>
            <w:tcW w:w="62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2"/>
          </w:tcPr>
          <w:p>
            <w:pPr>
              <w:ind w:left="540"/>
              <w:spacing w:after="0"/>
              <w:rPr>
                <w:sz w:val="20"/>
                <w:szCs w:val="20"/>
                <w:color w:val="auto"/>
              </w:rPr>
            </w:pPr>
            <w:r>
              <w:rPr>
                <w:rFonts w:ascii="Arial" w:cs="Arial" w:eastAsia="Arial" w:hAnsi="Arial"/>
                <w:sz w:val="18"/>
                <w:szCs w:val="18"/>
                <w:b w:val="1"/>
                <w:bCs w:val="1"/>
                <w:color w:val="auto"/>
                <w:w w:val="93"/>
              </w:rPr>
              <w:t>June 30, 2017</w:t>
            </w:r>
          </w:p>
        </w:tc>
        <w:tc>
          <w:tcPr>
            <w:tcW w:w="60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2"/>
          </w:tcPr>
          <w:p>
            <w:pPr>
              <w:ind w:left="320"/>
              <w:spacing w:after="0"/>
              <w:rPr>
                <w:sz w:val="20"/>
                <w:szCs w:val="20"/>
                <w:color w:val="auto"/>
              </w:rPr>
            </w:pPr>
            <w:r>
              <w:rPr>
                <w:rFonts w:ascii="Arial" w:cs="Arial" w:eastAsia="Arial" w:hAnsi="Arial"/>
                <w:sz w:val="18"/>
                <w:szCs w:val="18"/>
                <w:b w:val="1"/>
                <w:bCs w:val="1"/>
                <w:color w:val="auto"/>
                <w:w w:val="86"/>
              </w:rPr>
              <w:t>December 31, 2016</w:t>
            </w:r>
          </w:p>
        </w:tc>
        <w:tc>
          <w:tcPr>
            <w:tcW w:w="5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6260" w:type="dxa"/>
            <w:vAlign w:val="bottom"/>
          </w:tcPr>
          <w:p>
            <w:pPr>
              <w:spacing w:after="0"/>
              <w:rPr>
                <w:sz w:val="19"/>
                <w:szCs w:val="19"/>
                <w:color w:val="auto"/>
              </w:rPr>
            </w:pPr>
          </w:p>
        </w:tc>
        <w:tc>
          <w:tcPr>
            <w:tcW w:w="1300" w:type="dxa"/>
            <w:vAlign w:val="bottom"/>
            <w:gridSpan w:val="2"/>
          </w:tcPr>
          <w:p>
            <w:pPr>
              <w:spacing w:after="0"/>
              <w:rPr>
                <w:sz w:val="20"/>
                <w:szCs w:val="20"/>
                <w:color w:val="auto"/>
              </w:rPr>
            </w:pPr>
            <w:r>
              <w:rPr>
                <w:rFonts w:ascii="Arial" w:cs="Arial" w:eastAsia="Arial" w:hAnsi="Arial"/>
                <w:sz w:val="18"/>
                <w:szCs w:val="18"/>
                <w:b w:val="1"/>
                <w:bCs w:val="1"/>
                <w:color w:val="auto"/>
                <w:w w:val="97"/>
              </w:rPr>
              <w:t>Gross Carrying</w:t>
            </w:r>
          </w:p>
        </w:tc>
        <w:tc>
          <w:tcPr>
            <w:tcW w:w="1140" w:type="dxa"/>
            <w:vAlign w:val="bottom"/>
            <w:gridSpan w:val="2"/>
          </w:tcPr>
          <w:p>
            <w:pPr>
              <w:ind w:left="140"/>
              <w:spacing w:after="0"/>
              <w:rPr>
                <w:sz w:val="20"/>
                <w:szCs w:val="20"/>
                <w:color w:val="auto"/>
              </w:rPr>
            </w:pPr>
            <w:r>
              <w:rPr>
                <w:rFonts w:ascii="Arial" w:cs="Arial" w:eastAsia="Arial" w:hAnsi="Arial"/>
                <w:sz w:val="18"/>
                <w:szCs w:val="18"/>
                <w:b w:val="1"/>
                <w:bCs w:val="1"/>
                <w:color w:val="auto"/>
                <w:w w:val="86"/>
              </w:rPr>
              <w:t>Accumulated</w:t>
            </w:r>
          </w:p>
        </w:tc>
        <w:tc>
          <w:tcPr>
            <w:tcW w:w="280" w:type="dxa"/>
            <w:vAlign w:val="bottom"/>
          </w:tcPr>
          <w:p>
            <w:pPr>
              <w:spacing w:after="0"/>
              <w:rPr>
                <w:sz w:val="19"/>
                <w:szCs w:val="19"/>
                <w:color w:val="auto"/>
              </w:rPr>
            </w:pPr>
          </w:p>
        </w:tc>
        <w:tc>
          <w:tcPr>
            <w:tcW w:w="1300" w:type="dxa"/>
            <w:vAlign w:val="bottom"/>
            <w:gridSpan w:val="2"/>
          </w:tcPr>
          <w:p>
            <w:pPr>
              <w:spacing w:after="0"/>
              <w:rPr>
                <w:sz w:val="20"/>
                <w:szCs w:val="20"/>
                <w:color w:val="auto"/>
              </w:rPr>
            </w:pPr>
            <w:r>
              <w:rPr>
                <w:rFonts w:ascii="Arial" w:cs="Arial" w:eastAsia="Arial" w:hAnsi="Arial"/>
                <w:sz w:val="18"/>
                <w:szCs w:val="18"/>
                <w:b w:val="1"/>
                <w:bCs w:val="1"/>
                <w:color w:val="auto"/>
                <w:w w:val="97"/>
              </w:rPr>
              <w:t>Gross Carrying</w:t>
            </w:r>
          </w:p>
        </w:tc>
        <w:tc>
          <w:tcPr>
            <w:tcW w:w="1140" w:type="dxa"/>
            <w:vAlign w:val="bottom"/>
            <w:gridSpan w:val="2"/>
          </w:tcPr>
          <w:p>
            <w:pPr>
              <w:ind w:left="140"/>
              <w:spacing w:after="0"/>
              <w:rPr>
                <w:sz w:val="20"/>
                <w:szCs w:val="20"/>
                <w:color w:val="auto"/>
              </w:rPr>
            </w:pPr>
            <w:r>
              <w:rPr>
                <w:rFonts w:ascii="Arial" w:cs="Arial" w:eastAsia="Arial" w:hAnsi="Arial"/>
                <w:sz w:val="18"/>
                <w:szCs w:val="18"/>
                <w:b w:val="1"/>
                <w:bCs w:val="1"/>
                <w:color w:val="auto"/>
                <w:w w:val="86"/>
              </w:rPr>
              <w:t>Accumulated</w:t>
            </w:r>
          </w:p>
        </w:tc>
        <w:tc>
          <w:tcPr>
            <w:tcW w:w="20" w:type="dxa"/>
            <w:vAlign w:val="bottom"/>
          </w:tcPr>
          <w:p>
            <w:pPr>
              <w:spacing w:after="0"/>
              <w:rPr>
                <w:sz w:val="19"/>
                <w:szCs w:val="19"/>
                <w:color w:val="auto"/>
              </w:rPr>
            </w:pPr>
          </w:p>
        </w:tc>
      </w:tr>
      <w:tr>
        <w:trPr>
          <w:trHeight w:val="251"/>
        </w:trPr>
        <w:tc>
          <w:tcPr>
            <w:tcW w:w="6260" w:type="dxa"/>
            <w:vAlign w:val="bottom"/>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80" w:type="dxa"/>
            <w:vAlign w:val="bottom"/>
          </w:tcPr>
          <w:p>
            <w:pPr>
              <w:spacing w:after="0"/>
              <w:rPr>
                <w:sz w:val="21"/>
                <w:szCs w:val="21"/>
                <w:color w:val="auto"/>
              </w:rPr>
            </w:pPr>
          </w:p>
        </w:tc>
        <w:tc>
          <w:tcPr>
            <w:tcW w:w="1120" w:type="dxa"/>
            <w:vAlign w:val="bottom"/>
          </w:tcPr>
          <w:p>
            <w:pPr>
              <w:jc w:val="right"/>
              <w:ind w:right="332"/>
              <w:spacing w:after="0"/>
              <w:rPr>
                <w:sz w:val="20"/>
                <w:szCs w:val="20"/>
                <w:color w:val="auto"/>
              </w:rPr>
            </w:pPr>
            <w:r>
              <w:rPr>
                <w:rFonts w:ascii="Arial" w:cs="Arial" w:eastAsia="Arial" w:hAnsi="Arial"/>
                <w:sz w:val="18"/>
                <w:szCs w:val="18"/>
                <w:b w:val="1"/>
                <w:bCs w:val="1"/>
                <w:color w:val="auto"/>
                <w:w w:val="99"/>
              </w:rPr>
              <w:t>Amount</w:t>
            </w:r>
          </w:p>
        </w:tc>
        <w:tc>
          <w:tcPr>
            <w:tcW w:w="1420" w:type="dxa"/>
            <w:vAlign w:val="bottom"/>
            <w:gridSpan w:val="3"/>
          </w:tcPr>
          <w:p>
            <w:pPr>
              <w:ind w:left="140"/>
              <w:spacing w:after="0"/>
              <w:rPr>
                <w:sz w:val="20"/>
                <w:szCs w:val="20"/>
                <w:color w:val="auto"/>
              </w:rPr>
            </w:pPr>
            <w:r>
              <w:rPr>
                <w:rFonts w:ascii="Arial" w:cs="Arial" w:eastAsia="Arial" w:hAnsi="Arial"/>
                <w:sz w:val="18"/>
                <w:szCs w:val="18"/>
                <w:b w:val="1"/>
                <w:bCs w:val="1"/>
                <w:color w:val="auto"/>
              </w:rPr>
              <w:t>Amortization</w:t>
            </w:r>
          </w:p>
        </w:tc>
        <w:tc>
          <w:tcPr>
            <w:tcW w:w="180" w:type="dxa"/>
            <w:vAlign w:val="bottom"/>
          </w:tcPr>
          <w:p>
            <w:pPr>
              <w:spacing w:after="0"/>
              <w:rPr>
                <w:sz w:val="21"/>
                <w:szCs w:val="21"/>
                <w:color w:val="auto"/>
              </w:rPr>
            </w:pPr>
          </w:p>
        </w:tc>
        <w:tc>
          <w:tcPr>
            <w:tcW w:w="1120" w:type="dxa"/>
            <w:vAlign w:val="bottom"/>
          </w:tcPr>
          <w:p>
            <w:pPr>
              <w:jc w:val="right"/>
              <w:ind w:right="332"/>
              <w:spacing w:after="0"/>
              <w:rPr>
                <w:sz w:val="20"/>
                <w:szCs w:val="20"/>
                <w:color w:val="auto"/>
              </w:rPr>
            </w:pPr>
            <w:r>
              <w:rPr>
                <w:rFonts w:ascii="Arial" w:cs="Arial" w:eastAsia="Arial" w:hAnsi="Arial"/>
                <w:sz w:val="18"/>
                <w:szCs w:val="18"/>
                <w:b w:val="1"/>
                <w:bCs w:val="1"/>
                <w:color w:val="auto"/>
                <w:w w:val="99"/>
              </w:rPr>
              <w:t>Amount</w:t>
            </w:r>
          </w:p>
        </w:tc>
        <w:tc>
          <w:tcPr>
            <w:tcW w:w="1160" w:type="dxa"/>
            <w:vAlign w:val="bottom"/>
            <w:gridSpan w:val="3"/>
          </w:tcPr>
          <w:p>
            <w:pPr>
              <w:ind w:left="140"/>
              <w:spacing w:after="0"/>
              <w:rPr>
                <w:sz w:val="20"/>
                <w:szCs w:val="20"/>
                <w:color w:val="auto"/>
              </w:rPr>
            </w:pPr>
            <w:r>
              <w:rPr>
                <w:rFonts w:ascii="Arial" w:cs="Arial" w:eastAsia="Arial" w:hAnsi="Arial"/>
                <w:sz w:val="18"/>
                <w:szCs w:val="18"/>
                <w:b w:val="1"/>
                <w:bCs w:val="1"/>
                <w:color w:val="auto"/>
                <w:w w:val="90"/>
              </w:rPr>
              <w:t>Amortization</w:t>
            </w:r>
          </w:p>
        </w:tc>
      </w:tr>
      <w:tr>
        <w:trPr>
          <w:trHeight w:val="243"/>
        </w:trPr>
        <w:tc>
          <w:tcPr>
            <w:tcW w:w="626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8"/>
                <w:szCs w:val="18"/>
                <w:color w:val="auto"/>
              </w:rPr>
              <w:t>Assets eligible for amortization:</w:t>
            </w:r>
          </w:p>
        </w:tc>
        <w:tc>
          <w:tcPr>
            <w:tcW w:w="180" w:type="dxa"/>
            <w:vAlign w:val="bottom"/>
            <w:tcBorders>
              <w:top w:val="single" w:sz="8" w:color="auto"/>
            </w:tcBorders>
            <w:shd w:val="clear" w:color="auto" w:fill="C0C0C0"/>
          </w:tcPr>
          <w:p>
            <w:pPr>
              <w:spacing w:after="0"/>
              <w:rPr>
                <w:sz w:val="21"/>
                <w:szCs w:val="21"/>
                <w:color w:val="auto"/>
              </w:rPr>
            </w:pPr>
          </w:p>
        </w:tc>
        <w:tc>
          <w:tcPr>
            <w:tcW w:w="1120" w:type="dxa"/>
            <w:vAlign w:val="bottom"/>
            <w:tcBorders>
              <w:top w:val="single" w:sz="8" w:color="auto"/>
            </w:tcBorders>
            <w:shd w:val="clear" w:color="auto" w:fill="C0C0C0"/>
          </w:tcPr>
          <w:p>
            <w:pPr>
              <w:spacing w:after="0"/>
              <w:rPr>
                <w:sz w:val="21"/>
                <w:szCs w:val="21"/>
                <w:color w:val="auto"/>
              </w:rPr>
            </w:pPr>
          </w:p>
        </w:tc>
        <w:tc>
          <w:tcPr>
            <w:tcW w:w="540" w:type="dxa"/>
            <w:vAlign w:val="bottom"/>
            <w:tcBorders>
              <w:top w:val="single" w:sz="8" w:color="auto"/>
            </w:tcBorders>
            <w:shd w:val="clear" w:color="auto" w:fill="C0C0C0"/>
          </w:tcPr>
          <w:p>
            <w:pPr>
              <w:spacing w:after="0"/>
              <w:rPr>
                <w:sz w:val="21"/>
                <w:szCs w:val="21"/>
                <w:color w:val="auto"/>
              </w:rPr>
            </w:pPr>
          </w:p>
        </w:tc>
        <w:tc>
          <w:tcPr>
            <w:tcW w:w="600" w:type="dxa"/>
            <w:vAlign w:val="bottom"/>
            <w:tcBorders>
              <w:top w:val="single" w:sz="8" w:color="auto"/>
            </w:tcBorders>
            <w:shd w:val="clear" w:color="auto" w:fill="C0C0C0"/>
          </w:tcPr>
          <w:p>
            <w:pPr>
              <w:spacing w:after="0"/>
              <w:rPr>
                <w:sz w:val="21"/>
                <w:szCs w:val="21"/>
                <w:color w:val="auto"/>
              </w:rPr>
            </w:pPr>
          </w:p>
        </w:tc>
        <w:tc>
          <w:tcPr>
            <w:tcW w:w="280" w:type="dxa"/>
            <w:vAlign w:val="bottom"/>
            <w:tcBorders>
              <w:top w:val="single" w:sz="8" w:color="auto"/>
            </w:tcBorders>
            <w:shd w:val="clear" w:color="auto" w:fill="C0C0C0"/>
          </w:tcPr>
          <w:p>
            <w:pPr>
              <w:spacing w:after="0"/>
              <w:rPr>
                <w:sz w:val="21"/>
                <w:szCs w:val="21"/>
                <w:color w:val="auto"/>
              </w:rPr>
            </w:pPr>
          </w:p>
        </w:tc>
        <w:tc>
          <w:tcPr>
            <w:tcW w:w="180" w:type="dxa"/>
            <w:vAlign w:val="bottom"/>
            <w:tcBorders>
              <w:top w:val="single" w:sz="8" w:color="auto"/>
            </w:tcBorders>
            <w:shd w:val="clear" w:color="auto" w:fill="C0C0C0"/>
          </w:tcPr>
          <w:p>
            <w:pPr>
              <w:spacing w:after="0"/>
              <w:rPr>
                <w:sz w:val="21"/>
                <w:szCs w:val="21"/>
                <w:color w:val="auto"/>
              </w:rPr>
            </w:pPr>
          </w:p>
        </w:tc>
        <w:tc>
          <w:tcPr>
            <w:tcW w:w="1120" w:type="dxa"/>
            <w:vAlign w:val="bottom"/>
            <w:tcBorders>
              <w:top w:val="single" w:sz="8" w:color="auto"/>
            </w:tcBorders>
            <w:shd w:val="clear" w:color="auto" w:fill="C0C0C0"/>
          </w:tcPr>
          <w:p>
            <w:pPr>
              <w:spacing w:after="0"/>
              <w:rPr>
                <w:sz w:val="21"/>
                <w:szCs w:val="21"/>
                <w:color w:val="auto"/>
              </w:rPr>
            </w:pPr>
          </w:p>
        </w:tc>
        <w:tc>
          <w:tcPr>
            <w:tcW w:w="620" w:type="dxa"/>
            <w:vAlign w:val="bottom"/>
            <w:tcBorders>
              <w:top w:val="single" w:sz="8" w:color="auto"/>
            </w:tcBorders>
            <w:shd w:val="clear" w:color="auto" w:fill="C0C0C0"/>
          </w:tcPr>
          <w:p>
            <w:pPr>
              <w:spacing w:after="0"/>
              <w:rPr>
                <w:sz w:val="21"/>
                <w:szCs w:val="21"/>
                <w:color w:val="auto"/>
              </w:rPr>
            </w:pPr>
          </w:p>
        </w:tc>
        <w:tc>
          <w:tcPr>
            <w:tcW w:w="520" w:type="dxa"/>
            <w:vAlign w:val="bottom"/>
            <w:tcBorders>
              <w:top w:val="single" w:sz="8" w:color="auto"/>
            </w:tcBorders>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6260" w:type="dxa"/>
            <w:vAlign w:val="bottom"/>
          </w:tcPr>
          <w:p>
            <w:pPr>
              <w:ind w:left="280"/>
              <w:spacing w:after="0"/>
              <w:rPr>
                <w:sz w:val="20"/>
                <w:szCs w:val="20"/>
                <w:color w:val="auto"/>
              </w:rPr>
            </w:pPr>
            <w:r>
              <w:rPr>
                <w:rFonts w:ascii="Arial" w:cs="Arial" w:eastAsia="Arial" w:hAnsi="Arial"/>
                <w:sz w:val="18"/>
                <w:szCs w:val="18"/>
                <w:color w:val="auto"/>
              </w:rPr>
              <w:t>Customer lists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4,288</w:t>
            </w:r>
          </w:p>
        </w:tc>
        <w:tc>
          <w:tcPr>
            <w:tcW w:w="540" w:type="dxa"/>
            <w:vAlign w:val="bottom"/>
          </w:tcPr>
          <w:p>
            <w:pPr>
              <w:ind w:left="1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(2,517)</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3,933</w:t>
            </w:r>
          </w:p>
        </w:tc>
        <w:tc>
          <w:tcPr>
            <w:tcW w:w="620" w:type="dxa"/>
            <w:vAlign w:val="bottom"/>
          </w:tcPr>
          <w:p>
            <w:pPr>
              <w:ind w:left="1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(2,342)</w:t>
            </w:r>
          </w:p>
        </w:tc>
      </w:tr>
      <w:tr>
        <w:trPr>
          <w:trHeight w:val="251"/>
        </w:trPr>
        <w:tc>
          <w:tcPr>
            <w:tcW w:w="6260" w:type="dxa"/>
            <w:vAlign w:val="bottom"/>
            <w:shd w:val="clear" w:color="auto" w:fill="C0C0C0"/>
          </w:tcPr>
          <w:p>
            <w:pPr>
              <w:ind w:left="280"/>
              <w:spacing w:after="0"/>
              <w:rPr>
                <w:sz w:val="20"/>
                <w:szCs w:val="20"/>
                <w:color w:val="auto"/>
              </w:rPr>
            </w:pPr>
            <w:r>
              <w:rPr>
                <w:rFonts w:ascii="Arial" w:cs="Arial" w:eastAsia="Arial" w:hAnsi="Arial"/>
                <w:sz w:val="18"/>
                <w:szCs w:val="18"/>
                <w:color w:val="auto"/>
              </w:rPr>
              <w:t>Patents</w:t>
            </w:r>
          </w:p>
        </w:tc>
        <w:tc>
          <w:tcPr>
            <w:tcW w:w="180" w:type="dxa"/>
            <w:vAlign w:val="bottom"/>
            <w:shd w:val="clear" w:color="auto" w:fill="C0C0C0"/>
          </w:tcPr>
          <w:p>
            <w:pPr>
              <w:spacing w:after="0"/>
              <w:rPr>
                <w:sz w:val="21"/>
                <w:szCs w:val="21"/>
                <w:color w:val="auto"/>
              </w:rPr>
            </w:pPr>
          </w:p>
        </w:tc>
        <w:tc>
          <w:tcPr>
            <w:tcW w:w="11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72</w:t>
            </w:r>
          </w:p>
        </w:tc>
        <w:tc>
          <w:tcPr>
            <w:tcW w:w="540" w:type="dxa"/>
            <w:vAlign w:val="bottom"/>
            <w:shd w:val="clear" w:color="auto" w:fill="C0C0C0"/>
          </w:tcPr>
          <w:p>
            <w:pPr>
              <w:spacing w:after="0"/>
              <w:rPr>
                <w:sz w:val="21"/>
                <w:szCs w:val="21"/>
                <w:color w:val="auto"/>
              </w:rPr>
            </w:pPr>
          </w:p>
        </w:tc>
        <w:tc>
          <w:tcPr>
            <w:tcW w:w="6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1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72</w:t>
            </w:r>
          </w:p>
        </w:tc>
        <w:tc>
          <w:tcPr>
            <w:tcW w:w="620" w:type="dxa"/>
            <w:vAlign w:val="bottom"/>
            <w:shd w:val="clear" w:color="auto" w:fill="C0C0C0"/>
          </w:tcPr>
          <w:p>
            <w:pPr>
              <w:spacing w:after="0"/>
              <w:rPr>
                <w:sz w:val="21"/>
                <w:szCs w:val="21"/>
                <w:color w:val="auto"/>
              </w:rPr>
            </w:pPr>
          </w:p>
        </w:tc>
        <w:tc>
          <w:tcPr>
            <w:tcW w:w="5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1"/>
                <w:szCs w:val="21"/>
                <w:color w:val="auto"/>
              </w:rPr>
            </w:pPr>
          </w:p>
        </w:tc>
      </w:tr>
      <w:tr>
        <w:trPr>
          <w:trHeight w:val="235"/>
        </w:trPr>
        <w:tc>
          <w:tcPr>
            <w:tcW w:w="6260" w:type="dxa"/>
            <w:vAlign w:val="bottom"/>
          </w:tcPr>
          <w:p>
            <w:pPr>
              <w:ind w:left="280"/>
              <w:spacing w:after="0"/>
              <w:rPr>
                <w:sz w:val="20"/>
                <w:szCs w:val="20"/>
                <w:color w:val="auto"/>
              </w:rPr>
            </w:pPr>
            <w:r>
              <w:rPr>
                <w:rFonts w:ascii="Arial" w:cs="Arial" w:eastAsia="Arial" w:hAnsi="Arial"/>
                <w:sz w:val="18"/>
                <w:szCs w:val="18"/>
                <w:color w:val="auto"/>
              </w:rPr>
              <w:t>Non-compete agreements</w:t>
            </w:r>
          </w:p>
        </w:tc>
        <w:tc>
          <w:tcPr>
            <w:tcW w:w="180" w:type="dxa"/>
            <w:vAlign w:val="bottom"/>
          </w:tcPr>
          <w:p>
            <w:pPr>
              <w:spacing w:after="0"/>
              <w:rPr>
                <w:sz w:val="20"/>
                <w:szCs w:val="20"/>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332</w:t>
            </w:r>
          </w:p>
        </w:tc>
        <w:tc>
          <w:tcPr>
            <w:tcW w:w="5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(273)</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261</w:t>
            </w:r>
          </w:p>
        </w:tc>
        <w:tc>
          <w:tcPr>
            <w:tcW w:w="620" w:type="dxa"/>
            <w:vAlign w:val="bottom"/>
          </w:tcPr>
          <w:p>
            <w:pPr>
              <w:spacing w:after="0"/>
              <w:rPr>
                <w:sz w:val="20"/>
                <w:szCs w:val="20"/>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(261)</w:t>
            </w:r>
          </w:p>
        </w:tc>
      </w:tr>
      <w:tr>
        <w:trPr>
          <w:trHeight w:val="251"/>
        </w:trPr>
        <w:tc>
          <w:tcPr>
            <w:tcW w:w="6260" w:type="dxa"/>
            <w:vAlign w:val="bottom"/>
            <w:shd w:val="clear" w:color="auto" w:fill="C0C0C0"/>
          </w:tcPr>
          <w:p>
            <w:pPr>
              <w:ind w:left="280"/>
              <w:spacing w:after="0"/>
              <w:rPr>
                <w:sz w:val="20"/>
                <w:szCs w:val="20"/>
                <w:color w:val="auto"/>
              </w:rPr>
            </w:pPr>
            <w:r>
              <w:rPr>
                <w:rFonts w:ascii="Arial" w:cs="Arial" w:eastAsia="Arial" w:hAnsi="Arial"/>
                <w:sz w:val="18"/>
                <w:szCs w:val="18"/>
                <w:color w:val="auto"/>
              </w:rPr>
              <w:t>Software</w:t>
            </w:r>
          </w:p>
        </w:tc>
        <w:tc>
          <w:tcPr>
            <w:tcW w:w="180" w:type="dxa"/>
            <w:vAlign w:val="bottom"/>
            <w:shd w:val="clear" w:color="auto" w:fill="C0C0C0"/>
          </w:tcPr>
          <w:p>
            <w:pPr>
              <w:spacing w:after="0"/>
              <w:rPr>
                <w:sz w:val="21"/>
                <w:szCs w:val="21"/>
                <w:color w:val="auto"/>
              </w:rPr>
            </w:pPr>
          </w:p>
        </w:tc>
        <w:tc>
          <w:tcPr>
            <w:tcW w:w="11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234</w:t>
            </w:r>
          </w:p>
        </w:tc>
        <w:tc>
          <w:tcPr>
            <w:tcW w:w="540" w:type="dxa"/>
            <w:vAlign w:val="bottom"/>
            <w:shd w:val="clear" w:color="auto" w:fill="C0C0C0"/>
          </w:tcPr>
          <w:p>
            <w:pPr>
              <w:spacing w:after="0"/>
              <w:rPr>
                <w:sz w:val="21"/>
                <w:szCs w:val="21"/>
                <w:color w:val="auto"/>
              </w:rPr>
            </w:pPr>
          </w:p>
        </w:tc>
        <w:tc>
          <w:tcPr>
            <w:tcW w:w="6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(234)</w:t>
            </w:r>
          </w:p>
        </w:tc>
        <w:tc>
          <w:tcPr>
            <w:tcW w:w="28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1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234</w:t>
            </w:r>
          </w:p>
        </w:tc>
        <w:tc>
          <w:tcPr>
            <w:tcW w:w="620" w:type="dxa"/>
            <w:vAlign w:val="bottom"/>
            <w:shd w:val="clear" w:color="auto" w:fill="C0C0C0"/>
          </w:tcPr>
          <w:p>
            <w:pPr>
              <w:spacing w:after="0"/>
              <w:rPr>
                <w:sz w:val="21"/>
                <w:szCs w:val="21"/>
                <w:color w:val="auto"/>
              </w:rPr>
            </w:pPr>
          </w:p>
        </w:tc>
        <w:tc>
          <w:tcPr>
            <w:tcW w:w="5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(234)</w:t>
            </w:r>
          </w:p>
        </w:tc>
        <w:tc>
          <w:tcPr>
            <w:tcW w:w="20" w:type="dxa"/>
            <w:vAlign w:val="bottom"/>
          </w:tcPr>
          <w:p>
            <w:pPr>
              <w:spacing w:after="0"/>
              <w:rPr>
                <w:sz w:val="21"/>
                <w:szCs w:val="21"/>
                <w:color w:val="auto"/>
              </w:rPr>
            </w:pPr>
          </w:p>
        </w:tc>
      </w:tr>
      <w:tr>
        <w:trPr>
          <w:trHeight w:val="235"/>
        </w:trPr>
        <w:tc>
          <w:tcPr>
            <w:tcW w:w="6260" w:type="dxa"/>
            <w:vAlign w:val="bottom"/>
          </w:tcPr>
          <w:p>
            <w:pPr>
              <w:ind w:left="28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0"/>
                <w:szCs w:val="20"/>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500</w:t>
            </w:r>
          </w:p>
        </w:tc>
        <w:tc>
          <w:tcPr>
            <w:tcW w:w="5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(175)</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500</w:t>
            </w:r>
          </w:p>
        </w:tc>
        <w:tc>
          <w:tcPr>
            <w:tcW w:w="620" w:type="dxa"/>
            <w:vAlign w:val="bottom"/>
          </w:tcPr>
          <w:p>
            <w:pPr>
              <w:spacing w:after="0"/>
              <w:rPr>
                <w:sz w:val="20"/>
                <w:szCs w:val="20"/>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(158)</w:t>
            </w:r>
          </w:p>
        </w:tc>
      </w:tr>
      <w:tr>
        <w:trPr>
          <w:trHeight w:val="251"/>
        </w:trPr>
        <w:tc>
          <w:tcPr>
            <w:tcW w:w="6260" w:type="dxa"/>
            <w:vAlign w:val="bottom"/>
            <w:shd w:val="clear" w:color="auto" w:fill="C0C0C0"/>
          </w:tcPr>
          <w:p>
            <w:pPr>
              <w:spacing w:after="0"/>
              <w:rPr>
                <w:sz w:val="20"/>
                <w:szCs w:val="20"/>
                <w:color w:val="auto"/>
              </w:rPr>
            </w:pPr>
            <w:r>
              <w:rPr>
                <w:rFonts w:ascii="Arial" w:cs="Arial" w:eastAsia="Arial" w:hAnsi="Arial"/>
                <w:sz w:val="18"/>
                <w:szCs w:val="18"/>
                <w:color w:val="auto"/>
              </w:rPr>
              <w:t>Unamortized intangible assets:</w:t>
            </w:r>
          </w:p>
        </w:tc>
        <w:tc>
          <w:tcPr>
            <w:tcW w:w="180" w:type="dxa"/>
            <w:vAlign w:val="bottom"/>
            <w:shd w:val="clear" w:color="auto" w:fill="C0C0C0"/>
          </w:tcPr>
          <w:p>
            <w:pPr>
              <w:spacing w:after="0"/>
              <w:rPr>
                <w:sz w:val="21"/>
                <w:szCs w:val="21"/>
                <w:color w:val="auto"/>
              </w:rPr>
            </w:pPr>
          </w:p>
        </w:tc>
        <w:tc>
          <w:tcPr>
            <w:tcW w:w="1120" w:type="dxa"/>
            <w:vAlign w:val="bottom"/>
            <w:shd w:val="clear" w:color="auto" w:fill="C0C0C0"/>
          </w:tcPr>
          <w:p>
            <w:pPr>
              <w:spacing w:after="0"/>
              <w:rPr>
                <w:sz w:val="21"/>
                <w:szCs w:val="21"/>
                <w:color w:val="auto"/>
              </w:rPr>
            </w:pPr>
          </w:p>
        </w:tc>
        <w:tc>
          <w:tcPr>
            <w:tcW w:w="540" w:type="dxa"/>
            <w:vAlign w:val="bottom"/>
            <w:shd w:val="clear" w:color="auto" w:fill="C0C0C0"/>
          </w:tcPr>
          <w:p>
            <w:pPr>
              <w:spacing w:after="0"/>
              <w:rPr>
                <w:sz w:val="21"/>
                <w:szCs w:val="21"/>
                <w:color w:val="auto"/>
              </w:rPr>
            </w:pPr>
          </w:p>
        </w:tc>
        <w:tc>
          <w:tcPr>
            <w:tcW w:w="60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120" w:type="dxa"/>
            <w:vAlign w:val="bottom"/>
            <w:shd w:val="clear" w:color="auto" w:fill="C0C0C0"/>
          </w:tcPr>
          <w:p>
            <w:pPr>
              <w:spacing w:after="0"/>
              <w:rPr>
                <w:sz w:val="21"/>
                <w:szCs w:val="21"/>
                <w:color w:val="auto"/>
              </w:rPr>
            </w:pPr>
          </w:p>
        </w:tc>
        <w:tc>
          <w:tcPr>
            <w:tcW w:w="620" w:type="dxa"/>
            <w:vAlign w:val="bottom"/>
            <w:shd w:val="clear" w:color="auto" w:fill="C0C0C0"/>
          </w:tcPr>
          <w:p>
            <w:pPr>
              <w:spacing w:after="0"/>
              <w:rPr>
                <w:sz w:val="21"/>
                <w:szCs w:val="21"/>
                <w:color w:val="auto"/>
              </w:rPr>
            </w:pPr>
          </w:p>
        </w:tc>
        <w:tc>
          <w:tcPr>
            <w:tcW w:w="52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311"/>
        </w:trPr>
        <w:tc>
          <w:tcPr>
            <w:tcW w:w="6260" w:type="dxa"/>
            <w:vAlign w:val="bottom"/>
          </w:tcPr>
          <w:p>
            <w:pPr>
              <w:ind w:left="280"/>
              <w:spacing w:after="0" w:line="310" w:lineRule="exact"/>
              <w:rPr>
                <w:sz w:val="20"/>
                <w:szCs w:val="20"/>
                <w:color w:val="auto"/>
              </w:rPr>
            </w:pPr>
            <w:r>
              <w:rPr>
                <w:rFonts w:ascii="Arial" w:cs="Arial" w:eastAsia="Arial" w:hAnsi="Arial"/>
                <w:sz w:val="18"/>
                <w:szCs w:val="18"/>
                <w:color w:val="auto"/>
              </w:rPr>
              <w:t>Goodwill</w:t>
            </w:r>
            <w:r>
              <w:rPr>
                <w:rFonts w:ascii="Arial" w:cs="Arial" w:eastAsia="Arial" w:hAnsi="Arial"/>
                <w:sz w:val="29"/>
                <w:szCs w:val="29"/>
                <w:color w:val="auto"/>
                <w:vertAlign w:val="superscript"/>
              </w:rPr>
              <w:t>1</w:t>
            </w:r>
          </w:p>
        </w:tc>
        <w:tc>
          <w:tcPr>
            <w:tcW w:w="180" w:type="dxa"/>
            <w:vAlign w:val="bottom"/>
          </w:tcPr>
          <w:p>
            <w:pPr>
              <w:spacing w:after="0"/>
              <w:rPr>
                <w:sz w:val="24"/>
                <w:szCs w:val="24"/>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12,796</w:t>
            </w:r>
          </w:p>
        </w:tc>
        <w:tc>
          <w:tcPr>
            <w:tcW w:w="5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(227)</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11,817</w:t>
            </w:r>
          </w:p>
        </w:tc>
        <w:tc>
          <w:tcPr>
            <w:tcW w:w="620" w:type="dxa"/>
            <w:vAlign w:val="bottom"/>
          </w:tcPr>
          <w:p>
            <w:pPr>
              <w:spacing w:after="0"/>
              <w:rPr>
                <w:sz w:val="24"/>
                <w:szCs w:val="2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(227)</w:t>
            </w:r>
          </w:p>
        </w:tc>
      </w:tr>
      <w:tr>
        <w:trPr>
          <w:trHeight w:val="237"/>
        </w:trPr>
        <w:tc>
          <w:tcPr>
            <w:tcW w:w="626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8"/>
                <w:szCs w:val="18"/>
                <w:color w:val="auto"/>
              </w:rPr>
              <w:t>Total intangible assets</w:t>
            </w:r>
          </w:p>
        </w:tc>
        <w:tc>
          <w:tcPr>
            <w:tcW w:w="18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18,222</w:t>
            </w:r>
          </w:p>
        </w:tc>
        <w:tc>
          <w:tcPr>
            <w:tcW w:w="540" w:type="dxa"/>
            <w:vAlign w:val="bottom"/>
            <w:tcBorders>
              <w:top w:val="single" w:sz="8" w:color="auto"/>
            </w:tcBorders>
            <w:shd w:val="clear" w:color="auto" w:fill="C0C0C0"/>
          </w:tcPr>
          <w:p>
            <w:pPr>
              <w:ind w:left="14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(3,436)</w:t>
            </w:r>
          </w:p>
        </w:tc>
        <w:tc>
          <w:tcPr>
            <w:tcW w:w="280" w:type="dxa"/>
            <w:vAlign w:val="bottom"/>
            <w:tcBorders>
              <w:top w:val="single" w:sz="8" w:color="auto"/>
            </w:tcBorders>
            <w:shd w:val="clear" w:color="auto" w:fill="C0C0C0"/>
          </w:tcPr>
          <w:p>
            <w:pPr>
              <w:spacing w:after="0"/>
              <w:rPr>
                <w:sz w:val="20"/>
                <w:szCs w:val="20"/>
                <w:color w:val="auto"/>
              </w:rPr>
            </w:pPr>
          </w:p>
        </w:tc>
        <w:tc>
          <w:tcPr>
            <w:tcW w:w="18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16,817</w:t>
            </w:r>
          </w:p>
        </w:tc>
        <w:tc>
          <w:tcPr>
            <w:tcW w:w="620" w:type="dxa"/>
            <w:vAlign w:val="bottom"/>
            <w:tcBorders>
              <w:top w:val="single" w:sz="8" w:color="auto"/>
            </w:tcBorders>
            <w:shd w:val="clear" w:color="auto" w:fill="C0C0C0"/>
          </w:tcPr>
          <w:p>
            <w:pPr>
              <w:ind w:left="12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87"/>
              </w:rPr>
              <w:t>(3,230)</w:t>
            </w: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100" w:hanging="92"/>
        <w:spacing w:after="0" w:line="191" w:lineRule="auto"/>
        <w:tabs>
          <w:tab w:leader="none" w:pos="100" w:val="left"/>
        </w:tabs>
        <w:numPr>
          <w:ilvl w:val="0"/>
          <w:numId w:val="3"/>
        </w:numPr>
        <w:rPr>
          <w:rFonts w:ascii="Arial" w:cs="Arial" w:eastAsia="Arial" w:hAnsi="Arial"/>
          <w:sz w:val="22"/>
          <w:szCs w:val="22"/>
          <w:color w:val="auto"/>
          <w:vertAlign w:val="superscript"/>
        </w:rPr>
      </w:pPr>
      <w:r>
        <w:rPr>
          <w:rFonts w:ascii="Arial" w:cs="Arial" w:eastAsia="Arial" w:hAnsi="Arial"/>
          <w:sz w:val="14"/>
          <w:szCs w:val="14"/>
          <w:color w:val="auto"/>
        </w:rPr>
        <w:t>Amortization through December 31, 2001 prior to adoption of FASB ASC 350.</w:t>
      </w:r>
    </w:p>
    <w:p>
      <w:pPr>
        <w:spacing w:after="0" w:line="19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customer lists are amortized over seven and ten years; the patents over 18 years; the non-compete agreements over two and five years; software over three years; and other intangible assets over fifteen years. Amortization of intangible assets amounted to $207,000 and $204,000 for the six-month periods ended June 30, 2017 and 2016, respectively. Estimated annual amortization of intangibles is as follows: $427,000 in 2017, $442,000 in 2018, $412,000 in 2019, and $406,000 in each of 2020 and 2021.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Note 3 – Earnings Per Share</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Basic earnings per share is computed by dividing net income by the weighted-average number of common shares outstanding. Diluted earnings per share is computed by dividing net income by the sum of the weighted-average number of common shares outstanding and the weighted-average number of potential common shares outstanding. There were no anti-dilutive shares in the three and six months ended June 30, 2017 and 2016. The calculations of basic and diluted earnings per share are as follows: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28"/>
        </w:trPr>
        <w:tc>
          <w:tcPr>
            <w:tcW w:w="5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80" w:type="dxa"/>
            <w:vAlign w:val="bottom"/>
            <w:gridSpan w:val="3"/>
          </w:tcPr>
          <w:p>
            <w:pPr>
              <w:jc w:val="right"/>
              <w:ind w:right="532"/>
              <w:spacing w:after="0"/>
              <w:rPr>
                <w:sz w:val="20"/>
                <w:szCs w:val="20"/>
                <w:color w:val="auto"/>
              </w:rPr>
            </w:pPr>
            <w:r>
              <w:rPr>
                <w:rFonts w:ascii="Arial" w:cs="Arial" w:eastAsia="Arial" w:hAnsi="Arial"/>
                <w:sz w:val="18"/>
                <w:szCs w:val="18"/>
                <w:b w:val="1"/>
                <w:bCs w:val="1"/>
                <w:color w:val="auto"/>
              </w:rPr>
              <w:t>Three Months Ended</w:t>
            </w:r>
          </w:p>
        </w:tc>
        <w:tc>
          <w:tcPr>
            <w:tcW w:w="360" w:type="dxa"/>
            <w:vAlign w:val="bottom"/>
          </w:tcPr>
          <w:p>
            <w:pPr>
              <w:spacing w:after="0"/>
              <w:rPr>
                <w:sz w:val="19"/>
                <w:szCs w:val="19"/>
                <w:color w:val="auto"/>
              </w:rPr>
            </w:pPr>
          </w:p>
        </w:tc>
        <w:tc>
          <w:tcPr>
            <w:tcW w:w="2340" w:type="dxa"/>
            <w:vAlign w:val="bottom"/>
            <w:gridSpan w:val="3"/>
          </w:tcPr>
          <w:p>
            <w:pPr>
              <w:jc w:val="right"/>
              <w:ind w:right="512"/>
              <w:spacing w:after="0"/>
              <w:rPr>
                <w:sz w:val="20"/>
                <w:szCs w:val="20"/>
                <w:color w:val="auto"/>
              </w:rPr>
            </w:pPr>
            <w:r>
              <w:rPr>
                <w:rFonts w:ascii="Arial" w:cs="Arial" w:eastAsia="Arial" w:hAnsi="Arial"/>
                <w:sz w:val="18"/>
                <w:szCs w:val="18"/>
                <w:b w:val="1"/>
                <w:bCs w:val="1"/>
                <w:color w:val="auto"/>
              </w:rPr>
              <w:t>Six Months Ended</w:t>
            </w:r>
          </w:p>
        </w:tc>
      </w:tr>
      <w:tr>
        <w:trPr>
          <w:trHeight w:val="252"/>
        </w:trPr>
        <w:tc>
          <w:tcPr>
            <w:tcW w:w="5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June 30,</w:t>
            </w:r>
          </w:p>
        </w:tc>
        <w:tc>
          <w:tcPr>
            <w:tcW w:w="10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21"/>
                <w:szCs w:val="21"/>
                <w:color w:val="auto"/>
              </w:rPr>
            </w:pPr>
          </w:p>
        </w:tc>
      </w:tr>
      <w:tr>
        <w:trPr>
          <w:trHeight w:val="237"/>
        </w:trPr>
        <w:tc>
          <w:tcPr>
            <w:tcW w:w="5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 except share and per share data)</w:t>
            </w:r>
          </w:p>
        </w:tc>
        <w:tc>
          <w:tcPr>
            <w:tcW w:w="5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b w:val="1"/>
                <w:bCs w:val="1"/>
                <w:color w:val="auto"/>
              </w:rPr>
              <w:t>2017</w:t>
            </w:r>
          </w:p>
        </w:tc>
        <w:tc>
          <w:tcPr>
            <w:tcW w:w="4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b w:val="1"/>
                <w:bCs w:val="1"/>
                <w:color w:val="auto"/>
              </w:rPr>
              <w:t>2016</w:t>
            </w: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b w:val="1"/>
                <w:bCs w:val="1"/>
                <w:color w:val="auto"/>
              </w:rPr>
              <w:t>2017</w:t>
            </w:r>
          </w:p>
        </w:tc>
        <w:tc>
          <w:tcPr>
            <w:tcW w:w="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2016</w:t>
            </w:r>
          </w:p>
        </w:tc>
      </w:tr>
      <w:tr>
        <w:trPr>
          <w:trHeight w:val="243"/>
        </w:trPr>
        <w:tc>
          <w:tcPr>
            <w:tcW w:w="5440" w:type="dxa"/>
            <w:vAlign w:val="bottom"/>
            <w:shd w:val="clear" w:color="auto" w:fill="C0C0C0"/>
          </w:tcPr>
          <w:p>
            <w:pPr>
              <w:spacing w:after="0"/>
              <w:rPr>
                <w:sz w:val="20"/>
                <w:szCs w:val="20"/>
                <w:color w:val="auto"/>
              </w:rPr>
            </w:pPr>
            <w:r>
              <w:rPr>
                <w:rFonts w:ascii="Arial" w:cs="Arial" w:eastAsia="Arial" w:hAnsi="Arial"/>
                <w:sz w:val="18"/>
                <w:szCs w:val="18"/>
                <w:color w:val="auto"/>
              </w:rPr>
              <w:t>Basic</w:t>
            </w:r>
          </w:p>
        </w:tc>
        <w:tc>
          <w:tcPr>
            <w:tcW w:w="5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1060" w:type="dxa"/>
            <w:vAlign w:val="bottom"/>
            <w:shd w:val="clear" w:color="auto" w:fill="C0C0C0"/>
          </w:tcPr>
          <w:p>
            <w:pPr>
              <w:spacing w:after="0"/>
              <w:rPr>
                <w:sz w:val="21"/>
                <w:szCs w:val="21"/>
                <w:color w:val="auto"/>
              </w:rPr>
            </w:pPr>
          </w:p>
        </w:tc>
        <w:tc>
          <w:tcPr>
            <w:tcW w:w="400" w:type="dxa"/>
            <w:vAlign w:val="bottom"/>
            <w:shd w:val="clear" w:color="auto" w:fill="C0C0C0"/>
          </w:tcPr>
          <w:p>
            <w:pPr>
              <w:spacing w:after="0"/>
              <w:rPr>
                <w:sz w:val="21"/>
                <w:szCs w:val="21"/>
                <w:color w:val="auto"/>
              </w:rPr>
            </w:pPr>
          </w:p>
        </w:tc>
        <w:tc>
          <w:tcPr>
            <w:tcW w:w="1020" w:type="dxa"/>
            <w:vAlign w:val="bottom"/>
            <w:shd w:val="clear" w:color="auto" w:fill="C0C0C0"/>
          </w:tcPr>
          <w:p>
            <w:pPr>
              <w:spacing w:after="0"/>
              <w:rPr>
                <w:sz w:val="21"/>
                <w:szCs w:val="21"/>
                <w:color w:val="auto"/>
              </w:rPr>
            </w:pPr>
          </w:p>
        </w:tc>
        <w:tc>
          <w:tcPr>
            <w:tcW w:w="360" w:type="dxa"/>
            <w:vAlign w:val="bottom"/>
            <w:shd w:val="clear" w:color="auto" w:fill="C0C0C0"/>
          </w:tcPr>
          <w:p>
            <w:pPr>
              <w:spacing w:after="0"/>
              <w:rPr>
                <w:sz w:val="21"/>
                <w:szCs w:val="21"/>
                <w:color w:val="auto"/>
              </w:rPr>
            </w:pPr>
          </w:p>
        </w:tc>
        <w:tc>
          <w:tcPr>
            <w:tcW w:w="1060" w:type="dxa"/>
            <w:vAlign w:val="bottom"/>
            <w:shd w:val="clear" w:color="auto" w:fill="C0C0C0"/>
          </w:tcPr>
          <w:p>
            <w:pPr>
              <w:spacing w:after="0"/>
              <w:rPr>
                <w:sz w:val="21"/>
                <w:szCs w:val="21"/>
                <w:color w:val="auto"/>
              </w:rPr>
            </w:pPr>
          </w:p>
        </w:tc>
        <w:tc>
          <w:tcPr>
            <w:tcW w:w="400" w:type="dxa"/>
            <w:vAlign w:val="bottom"/>
            <w:shd w:val="clear" w:color="auto" w:fill="C0C0C0"/>
          </w:tcPr>
          <w:p>
            <w:pPr>
              <w:spacing w:after="0"/>
              <w:rPr>
                <w:sz w:val="21"/>
                <w:szCs w:val="21"/>
                <w:color w:val="auto"/>
              </w:rPr>
            </w:pPr>
          </w:p>
        </w:tc>
        <w:tc>
          <w:tcPr>
            <w:tcW w:w="880" w:type="dxa"/>
            <w:vAlign w:val="bottom"/>
            <w:shd w:val="clear" w:color="auto" w:fill="C0C0C0"/>
          </w:tcPr>
          <w:p>
            <w:pPr>
              <w:spacing w:after="0"/>
              <w:rPr>
                <w:sz w:val="21"/>
                <w:szCs w:val="21"/>
                <w:color w:val="auto"/>
              </w:rPr>
            </w:pPr>
          </w:p>
        </w:tc>
      </w:tr>
      <w:tr>
        <w:trPr>
          <w:trHeight w:val="235"/>
        </w:trPr>
        <w:tc>
          <w:tcPr>
            <w:tcW w:w="544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6,513</w:t>
            </w:r>
          </w:p>
        </w:tc>
        <w:tc>
          <w:tcPr>
            <w:tcW w:w="4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5,869</w:t>
            </w:r>
          </w:p>
        </w:tc>
        <w:tc>
          <w:tcPr>
            <w:tcW w:w="3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12,820</w:t>
            </w:r>
          </w:p>
        </w:tc>
        <w:tc>
          <w:tcPr>
            <w:tcW w:w="4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11,702</w:t>
            </w:r>
          </w:p>
        </w:tc>
      </w:tr>
      <w:tr>
        <w:trPr>
          <w:trHeight w:val="251"/>
        </w:trPr>
        <w:tc>
          <w:tcPr>
            <w:tcW w:w="5440" w:type="dxa"/>
            <w:vAlign w:val="bottom"/>
            <w:shd w:val="clear" w:color="auto" w:fill="C0C0C0"/>
          </w:tcPr>
          <w:p>
            <w:pPr>
              <w:ind w:left="280"/>
              <w:spacing w:after="0"/>
              <w:rPr>
                <w:sz w:val="20"/>
                <w:szCs w:val="20"/>
                <w:color w:val="auto"/>
              </w:rPr>
            </w:pPr>
            <w:r>
              <w:rPr>
                <w:rFonts w:ascii="Arial" w:cs="Arial" w:eastAsia="Arial" w:hAnsi="Arial"/>
                <w:sz w:val="18"/>
                <w:szCs w:val="18"/>
                <w:color w:val="auto"/>
              </w:rPr>
              <w:t>Weighted-average common shares outstanding</w:t>
            </w:r>
          </w:p>
        </w:tc>
        <w:tc>
          <w:tcPr>
            <w:tcW w:w="5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10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w w:val="99"/>
              </w:rPr>
              <w:t>11,153,260</w:t>
            </w:r>
          </w:p>
        </w:tc>
        <w:tc>
          <w:tcPr>
            <w:tcW w:w="400" w:type="dxa"/>
            <w:vAlign w:val="bottom"/>
            <w:shd w:val="clear" w:color="auto" w:fill="C0C0C0"/>
          </w:tcPr>
          <w:p>
            <w:pPr>
              <w:spacing w:after="0"/>
              <w:rPr>
                <w:sz w:val="21"/>
                <w:szCs w:val="21"/>
                <w:color w:val="auto"/>
              </w:rPr>
            </w:pPr>
          </w:p>
        </w:tc>
        <w:tc>
          <w:tcPr>
            <w:tcW w:w="10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w w:val="95"/>
              </w:rPr>
              <w:t>11,134,559</w:t>
            </w:r>
          </w:p>
        </w:tc>
        <w:tc>
          <w:tcPr>
            <w:tcW w:w="360" w:type="dxa"/>
            <w:vAlign w:val="bottom"/>
            <w:shd w:val="clear" w:color="auto" w:fill="C0C0C0"/>
          </w:tcPr>
          <w:p>
            <w:pPr>
              <w:spacing w:after="0"/>
              <w:rPr>
                <w:sz w:val="21"/>
                <w:szCs w:val="21"/>
                <w:color w:val="auto"/>
              </w:rPr>
            </w:pPr>
          </w:p>
        </w:tc>
        <w:tc>
          <w:tcPr>
            <w:tcW w:w="10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w w:val="99"/>
              </w:rPr>
              <w:t>11,145,996</w:t>
            </w:r>
          </w:p>
        </w:tc>
        <w:tc>
          <w:tcPr>
            <w:tcW w:w="400" w:type="dxa"/>
            <w:vAlign w:val="bottom"/>
            <w:shd w:val="clear" w:color="auto" w:fill="C0C0C0"/>
          </w:tcPr>
          <w:p>
            <w:pPr>
              <w:spacing w:after="0"/>
              <w:rPr>
                <w:sz w:val="21"/>
                <w:szCs w:val="21"/>
                <w:color w:val="auto"/>
              </w:rPr>
            </w:pPr>
          </w:p>
        </w:tc>
        <w:tc>
          <w:tcPr>
            <w:tcW w:w="88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5"/>
              </w:rPr>
              <w:t>11,184,058</w:t>
            </w:r>
          </w:p>
        </w:tc>
      </w:tr>
      <w:tr>
        <w:trPr>
          <w:trHeight w:val="237"/>
        </w:trPr>
        <w:tc>
          <w:tcPr>
            <w:tcW w:w="544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Basic earnings per share</w:t>
            </w:r>
          </w:p>
        </w:tc>
        <w:tc>
          <w:tcPr>
            <w:tcW w:w="8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.58</w:t>
            </w:r>
          </w:p>
        </w:tc>
        <w:tc>
          <w:tcPr>
            <w:tcW w:w="4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.53</w:t>
            </w:r>
          </w:p>
        </w:tc>
        <w:tc>
          <w:tcPr>
            <w:tcW w:w="3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1.15</w:t>
            </w:r>
          </w:p>
        </w:tc>
        <w:tc>
          <w:tcPr>
            <w:tcW w:w="4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r>
      <w:tr>
        <w:trPr>
          <w:trHeight w:val="243"/>
        </w:trPr>
        <w:tc>
          <w:tcPr>
            <w:tcW w:w="54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r>
      <w:tr>
        <w:trPr>
          <w:trHeight w:val="237"/>
        </w:trPr>
        <w:tc>
          <w:tcPr>
            <w:tcW w:w="5440" w:type="dxa"/>
            <w:vAlign w:val="bottom"/>
            <w:shd w:val="clear" w:color="auto" w:fill="C0C0C0"/>
          </w:tcPr>
          <w:p>
            <w:pPr>
              <w:spacing w:after="0"/>
              <w:rPr>
                <w:sz w:val="20"/>
                <w:szCs w:val="20"/>
                <w:color w:val="auto"/>
              </w:rPr>
            </w:pPr>
            <w:r>
              <w:rPr>
                <w:rFonts w:ascii="Arial" w:cs="Arial" w:eastAsia="Arial" w:hAnsi="Arial"/>
                <w:sz w:val="18"/>
                <w:szCs w:val="18"/>
                <w:color w:val="auto"/>
              </w:rPr>
              <w:t>Diluted</w:t>
            </w:r>
          </w:p>
        </w:tc>
        <w:tc>
          <w:tcPr>
            <w:tcW w:w="580" w:type="dxa"/>
            <w:vAlign w:val="bottom"/>
            <w:shd w:val="clear" w:color="auto" w:fill="C0C0C0"/>
          </w:tcPr>
          <w:p>
            <w:pPr>
              <w:spacing w:after="0"/>
              <w:rPr>
                <w:sz w:val="20"/>
                <w:szCs w:val="20"/>
                <w:color w:val="auto"/>
              </w:rPr>
            </w:pPr>
          </w:p>
        </w:tc>
        <w:tc>
          <w:tcPr>
            <w:tcW w:w="220" w:type="dxa"/>
            <w:vAlign w:val="bottom"/>
            <w:shd w:val="clear" w:color="auto" w:fill="C0C0C0"/>
          </w:tcPr>
          <w:p>
            <w:pPr>
              <w:spacing w:after="0"/>
              <w:rPr>
                <w:sz w:val="20"/>
                <w:szCs w:val="20"/>
                <w:color w:val="auto"/>
              </w:rPr>
            </w:pPr>
          </w:p>
        </w:tc>
        <w:tc>
          <w:tcPr>
            <w:tcW w:w="1060" w:type="dxa"/>
            <w:vAlign w:val="bottom"/>
            <w:shd w:val="clear" w:color="auto" w:fill="C0C0C0"/>
          </w:tcPr>
          <w:p>
            <w:pPr>
              <w:spacing w:after="0"/>
              <w:rPr>
                <w:sz w:val="20"/>
                <w:szCs w:val="20"/>
                <w:color w:val="auto"/>
              </w:rPr>
            </w:pPr>
          </w:p>
        </w:tc>
        <w:tc>
          <w:tcPr>
            <w:tcW w:w="400" w:type="dxa"/>
            <w:vAlign w:val="bottom"/>
            <w:shd w:val="clear" w:color="auto" w:fill="C0C0C0"/>
          </w:tcPr>
          <w:p>
            <w:pPr>
              <w:spacing w:after="0"/>
              <w:rPr>
                <w:sz w:val="20"/>
                <w:szCs w:val="20"/>
                <w:color w:val="auto"/>
              </w:rPr>
            </w:pPr>
          </w:p>
        </w:tc>
        <w:tc>
          <w:tcPr>
            <w:tcW w:w="1020" w:type="dxa"/>
            <w:vAlign w:val="bottom"/>
            <w:shd w:val="clear" w:color="auto" w:fill="C0C0C0"/>
          </w:tcPr>
          <w:p>
            <w:pPr>
              <w:spacing w:after="0"/>
              <w:rPr>
                <w:sz w:val="20"/>
                <w:szCs w:val="20"/>
                <w:color w:val="auto"/>
              </w:rPr>
            </w:pPr>
          </w:p>
        </w:tc>
        <w:tc>
          <w:tcPr>
            <w:tcW w:w="360" w:type="dxa"/>
            <w:vAlign w:val="bottom"/>
            <w:shd w:val="clear" w:color="auto" w:fill="C0C0C0"/>
          </w:tcPr>
          <w:p>
            <w:pPr>
              <w:spacing w:after="0"/>
              <w:rPr>
                <w:sz w:val="20"/>
                <w:szCs w:val="20"/>
                <w:color w:val="auto"/>
              </w:rPr>
            </w:pPr>
          </w:p>
        </w:tc>
        <w:tc>
          <w:tcPr>
            <w:tcW w:w="1060" w:type="dxa"/>
            <w:vAlign w:val="bottom"/>
            <w:shd w:val="clear" w:color="auto" w:fill="C0C0C0"/>
          </w:tcPr>
          <w:p>
            <w:pPr>
              <w:spacing w:after="0"/>
              <w:rPr>
                <w:sz w:val="20"/>
                <w:szCs w:val="20"/>
                <w:color w:val="auto"/>
              </w:rPr>
            </w:pPr>
          </w:p>
        </w:tc>
        <w:tc>
          <w:tcPr>
            <w:tcW w:w="400" w:type="dxa"/>
            <w:vAlign w:val="bottom"/>
            <w:shd w:val="clear" w:color="auto" w:fill="C0C0C0"/>
          </w:tcPr>
          <w:p>
            <w:pPr>
              <w:spacing w:after="0"/>
              <w:rPr>
                <w:sz w:val="20"/>
                <w:szCs w:val="20"/>
                <w:color w:val="auto"/>
              </w:rPr>
            </w:pPr>
          </w:p>
        </w:tc>
        <w:tc>
          <w:tcPr>
            <w:tcW w:w="880" w:type="dxa"/>
            <w:vAlign w:val="bottom"/>
            <w:shd w:val="clear" w:color="auto" w:fill="C0C0C0"/>
          </w:tcPr>
          <w:p>
            <w:pPr>
              <w:spacing w:after="0"/>
              <w:rPr>
                <w:sz w:val="20"/>
                <w:szCs w:val="20"/>
                <w:color w:val="auto"/>
              </w:rPr>
            </w:pPr>
          </w:p>
        </w:tc>
      </w:tr>
      <w:tr>
        <w:trPr>
          <w:trHeight w:val="235"/>
        </w:trPr>
        <w:tc>
          <w:tcPr>
            <w:tcW w:w="544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6,513</w:t>
            </w:r>
          </w:p>
        </w:tc>
        <w:tc>
          <w:tcPr>
            <w:tcW w:w="4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5,869</w:t>
            </w:r>
          </w:p>
        </w:tc>
        <w:tc>
          <w:tcPr>
            <w:tcW w:w="3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12,820</w:t>
            </w:r>
          </w:p>
        </w:tc>
        <w:tc>
          <w:tcPr>
            <w:tcW w:w="4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11,702</w:t>
            </w:r>
          </w:p>
        </w:tc>
      </w:tr>
      <w:tr>
        <w:trPr>
          <w:trHeight w:val="251"/>
        </w:trPr>
        <w:tc>
          <w:tcPr>
            <w:tcW w:w="5440" w:type="dxa"/>
            <w:vAlign w:val="bottom"/>
            <w:shd w:val="clear" w:color="auto" w:fill="C0C0C0"/>
          </w:tcPr>
          <w:p>
            <w:pPr>
              <w:ind w:left="280"/>
              <w:spacing w:after="0"/>
              <w:rPr>
                <w:sz w:val="20"/>
                <w:szCs w:val="20"/>
                <w:color w:val="auto"/>
              </w:rPr>
            </w:pPr>
            <w:r>
              <w:rPr>
                <w:rFonts w:ascii="Arial" w:cs="Arial" w:eastAsia="Arial" w:hAnsi="Arial"/>
                <w:sz w:val="18"/>
                <w:szCs w:val="18"/>
                <w:color w:val="auto"/>
              </w:rPr>
              <w:t>Weighted-average common shares outstanding</w:t>
            </w:r>
          </w:p>
        </w:tc>
        <w:tc>
          <w:tcPr>
            <w:tcW w:w="5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10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w w:val="99"/>
              </w:rPr>
              <w:t>11,153,260</w:t>
            </w:r>
          </w:p>
        </w:tc>
        <w:tc>
          <w:tcPr>
            <w:tcW w:w="400" w:type="dxa"/>
            <w:vAlign w:val="bottom"/>
            <w:shd w:val="clear" w:color="auto" w:fill="C0C0C0"/>
          </w:tcPr>
          <w:p>
            <w:pPr>
              <w:spacing w:after="0"/>
              <w:rPr>
                <w:sz w:val="21"/>
                <w:szCs w:val="21"/>
                <w:color w:val="auto"/>
              </w:rPr>
            </w:pPr>
          </w:p>
        </w:tc>
        <w:tc>
          <w:tcPr>
            <w:tcW w:w="10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w w:val="95"/>
              </w:rPr>
              <w:t>11,134,559</w:t>
            </w:r>
          </w:p>
        </w:tc>
        <w:tc>
          <w:tcPr>
            <w:tcW w:w="360" w:type="dxa"/>
            <w:vAlign w:val="bottom"/>
            <w:shd w:val="clear" w:color="auto" w:fill="C0C0C0"/>
          </w:tcPr>
          <w:p>
            <w:pPr>
              <w:spacing w:after="0"/>
              <w:rPr>
                <w:sz w:val="21"/>
                <w:szCs w:val="21"/>
                <w:color w:val="auto"/>
              </w:rPr>
            </w:pPr>
          </w:p>
        </w:tc>
        <w:tc>
          <w:tcPr>
            <w:tcW w:w="10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w w:val="99"/>
              </w:rPr>
              <w:t>11,145,996</w:t>
            </w:r>
          </w:p>
        </w:tc>
        <w:tc>
          <w:tcPr>
            <w:tcW w:w="400" w:type="dxa"/>
            <w:vAlign w:val="bottom"/>
            <w:shd w:val="clear" w:color="auto" w:fill="C0C0C0"/>
          </w:tcPr>
          <w:p>
            <w:pPr>
              <w:spacing w:after="0"/>
              <w:rPr>
                <w:sz w:val="21"/>
                <w:szCs w:val="21"/>
                <w:color w:val="auto"/>
              </w:rPr>
            </w:pPr>
          </w:p>
        </w:tc>
        <w:tc>
          <w:tcPr>
            <w:tcW w:w="88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5"/>
              </w:rPr>
              <w:t>11,184,058</w:t>
            </w:r>
          </w:p>
        </w:tc>
      </w:tr>
      <w:tr>
        <w:trPr>
          <w:trHeight w:val="237"/>
        </w:trPr>
        <w:tc>
          <w:tcPr>
            <w:tcW w:w="54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Effect of dilutive restricted stock and stock appreciation rights</w:t>
            </w:r>
          </w:p>
        </w:tc>
        <w:tc>
          <w:tcPr>
            <w:tcW w:w="5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168,241</w:t>
            </w:r>
          </w:p>
        </w:tc>
        <w:tc>
          <w:tcPr>
            <w:tcW w:w="4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153,459</w:t>
            </w: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167,460</w:t>
            </w:r>
          </w:p>
        </w:tc>
        <w:tc>
          <w:tcPr>
            <w:tcW w:w="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153,379</w:t>
            </w:r>
          </w:p>
        </w:tc>
      </w:tr>
      <w:tr>
        <w:trPr>
          <w:trHeight w:val="243"/>
        </w:trPr>
        <w:tc>
          <w:tcPr>
            <w:tcW w:w="5440" w:type="dxa"/>
            <w:vAlign w:val="bottom"/>
            <w:shd w:val="clear" w:color="auto" w:fill="C0C0C0"/>
          </w:tcPr>
          <w:p>
            <w:pPr>
              <w:ind w:left="280"/>
              <w:spacing w:after="0"/>
              <w:rPr>
                <w:sz w:val="20"/>
                <w:szCs w:val="20"/>
                <w:color w:val="auto"/>
              </w:rPr>
            </w:pPr>
            <w:r>
              <w:rPr>
                <w:rFonts w:ascii="Arial" w:cs="Arial" w:eastAsia="Arial" w:hAnsi="Arial"/>
                <w:sz w:val="18"/>
                <w:szCs w:val="18"/>
                <w:color w:val="auto"/>
                <w:w w:val="98"/>
              </w:rPr>
              <w:t>Weighted-average common shares outstanding assuming dilution</w:t>
            </w:r>
          </w:p>
        </w:tc>
        <w:tc>
          <w:tcPr>
            <w:tcW w:w="5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10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w w:val="99"/>
              </w:rPr>
              <w:t>11,321,501</w:t>
            </w:r>
          </w:p>
        </w:tc>
        <w:tc>
          <w:tcPr>
            <w:tcW w:w="400" w:type="dxa"/>
            <w:vAlign w:val="bottom"/>
            <w:shd w:val="clear" w:color="auto" w:fill="C0C0C0"/>
          </w:tcPr>
          <w:p>
            <w:pPr>
              <w:spacing w:after="0"/>
              <w:rPr>
                <w:sz w:val="21"/>
                <w:szCs w:val="21"/>
                <w:color w:val="auto"/>
              </w:rPr>
            </w:pPr>
          </w:p>
        </w:tc>
        <w:tc>
          <w:tcPr>
            <w:tcW w:w="10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w w:val="95"/>
              </w:rPr>
              <w:t>11,288,018</w:t>
            </w:r>
          </w:p>
        </w:tc>
        <w:tc>
          <w:tcPr>
            <w:tcW w:w="360" w:type="dxa"/>
            <w:vAlign w:val="bottom"/>
            <w:shd w:val="clear" w:color="auto" w:fill="C0C0C0"/>
          </w:tcPr>
          <w:p>
            <w:pPr>
              <w:spacing w:after="0"/>
              <w:rPr>
                <w:sz w:val="21"/>
                <w:szCs w:val="21"/>
                <w:color w:val="auto"/>
              </w:rPr>
            </w:pPr>
          </w:p>
        </w:tc>
        <w:tc>
          <w:tcPr>
            <w:tcW w:w="10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w w:val="99"/>
              </w:rPr>
              <w:t>11,313,456</w:t>
            </w:r>
          </w:p>
        </w:tc>
        <w:tc>
          <w:tcPr>
            <w:tcW w:w="400" w:type="dxa"/>
            <w:vAlign w:val="bottom"/>
            <w:shd w:val="clear" w:color="auto" w:fill="C0C0C0"/>
          </w:tcPr>
          <w:p>
            <w:pPr>
              <w:spacing w:after="0"/>
              <w:rPr>
                <w:sz w:val="21"/>
                <w:szCs w:val="21"/>
                <w:color w:val="auto"/>
              </w:rPr>
            </w:pPr>
          </w:p>
        </w:tc>
        <w:tc>
          <w:tcPr>
            <w:tcW w:w="88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5"/>
              </w:rPr>
              <w:t>11,337,437</w:t>
            </w:r>
          </w:p>
        </w:tc>
      </w:tr>
      <w:tr>
        <w:trPr>
          <w:trHeight w:val="237"/>
        </w:trPr>
        <w:tc>
          <w:tcPr>
            <w:tcW w:w="544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Diluted earnings per share</w:t>
            </w:r>
          </w:p>
        </w:tc>
        <w:tc>
          <w:tcPr>
            <w:tcW w:w="8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.58</w:t>
            </w:r>
          </w:p>
        </w:tc>
        <w:tc>
          <w:tcPr>
            <w:tcW w:w="4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.52</w:t>
            </w:r>
          </w:p>
        </w:tc>
        <w:tc>
          <w:tcPr>
            <w:tcW w:w="3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1.13</w:t>
            </w:r>
          </w:p>
        </w:tc>
        <w:tc>
          <w:tcPr>
            <w:tcW w:w="4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Note 4 – Stock Repurchases</w:t>
      </w:r>
    </w:p>
    <w:p>
      <w:pPr>
        <w:spacing w:after="0" w:line="225"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The Company maintains a treasury stock buyback program pursuant to which the Board of Directors has authorized the repurchase of up to 500,000 shares of the Company’s common stock. As restored by the Board of Directors on October 17, 2016, the program provides that the Company may repurchase up to an aggregate of 500,000 shares of common stock and has no expiration date. The Company repurchased 0 and 111,241 shares during the three-month periods and 0 and 187,123 shares for the six-month periods ended June 30, 2017 and 2016, respectively. As of June 30, 2017, 500,000 shares remained available for repurchase under the program. Repurchases may be made in the open market or through negotiated transactions from time to time depending on market conditions.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Note 5 – Industry Segment Information</w:t>
      </w:r>
    </w:p>
    <w:p>
      <w:pPr>
        <w:spacing w:after="0" w:line="225" w:lineRule="exact"/>
        <w:rPr>
          <w:sz w:val="20"/>
          <w:szCs w:val="20"/>
          <w:color w:val="auto"/>
        </w:rPr>
      </w:pPr>
    </w:p>
    <w:p>
      <w:pPr>
        <w:jc w:val="both"/>
        <w:spacing w:after="0" w:line="370" w:lineRule="auto"/>
        <w:rPr>
          <w:sz w:val="20"/>
          <w:szCs w:val="20"/>
          <w:color w:val="auto"/>
        </w:rPr>
      </w:pPr>
      <w:r>
        <w:rPr>
          <w:rFonts w:ascii="Arial" w:cs="Arial" w:eastAsia="Arial" w:hAnsi="Arial"/>
          <w:sz w:val="15"/>
          <w:szCs w:val="15"/>
          <w:color w:val="auto"/>
        </w:rPr>
        <w:t>The services provided by the Company are classified into two reportable segments: Information Services and Banking Services. Each of these segments provides distinct services that are marketed through different channels. They are managed separately due to their unique service, processing and capital requirements.</w:t>
      </w:r>
    </w:p>
    <w:p>
      <w:pPr>
        <w:spacing w:after="0" w:line="1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Information Services segment provides transportation, energy, telecommunication, and environmental invoice processing and payment services to large corporations. The Banking Services segment provides banking services primarily to privately held businesses and churches.</w:t>
      </w:r>
    </w:p>
    <w:p>
      <w:pPr>
        <w:spacing w:after="0" w:line="18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Company’s accounting policies for segments are the same as those described in the summary of significant accounting policies in the Company’s Annual Report on Form 10-K for the year ended December 31, 2016. Management evaluates segment performance based on net income after allocations for corporate expenses and income taxes. Transactions between segments are accounted for at what management believes to be fair value.</w:t>
      </w:r>
    </w:p>
    <w:p>
      <w:pPr>
        <w:spacing w:after="0" w:line="16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Substantially all revenue originates from, and all long-lived assets are located within, the United States, and no revenue from any customer of any segment exceeds 10% of the Company’s consolidated revenue.</w:t>
      </w:r>
    </w:p>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Assets represent actual assets owned by Information Services and Banking Services and there is no allocation methodology used. Segment interest from customers is the actual interest earned on the loans owned by Information Services and Banking Services, respectively.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9"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Summarized information about the Company’s operations in each industry segment is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1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center"/>
              <w:ind w:right="92"/>
              <w:spacing w:after="0"/>
              <w:rPr>
                <w:sz w:val="20"/>
                <w:szCs w:val="20"/>
                <w:color w:val="auto"/>
              </w:rPr>
            </w:pPr>
            <w:r>
              <w:rPr>
                <w:rFonts w:ascii="Arial" w:cs="Arial" w:eastAsia="Arial" w:hAnsi="Arial"/>
                <w:sz w:val="18"/>
                <w:szCs w:val="18"/>
                <w:b w:val="1"/>
                <w:bCs w:val="1"/>
                <w:color w:val="auto"/>
                <w:w w:val="90"/>
              </w:rPr>
              <w:t>Corporate,</w:t>
            </w: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4180" w:type="dxa"/>
            <w:vAlign w:val="bottom"/>
          </w:tcPr>
          <w:p>
            <w:pPr>
              <w:spacing w:after="0"/>
              <w:rPr>
                <w:sz w:val="21"/>
                <w:szCs w:val="21"/>
                <w:color w:val="auto"/>
              </w:rPr>
            </w:pPr>
          </w:p>
        </w:tc>
        <w:tc>
          <w:tcPr>
            <w:tcW w:w="3480" w:type="dxa"/>
            <w:vAlign w:val="bottom"/>
            <w:gridSpan w:val="2"/>
          </w:tcPr>
          <w:p>
            <w:pPr>
              <w:jc w:val="right"/>
              <w:ind w:right="112"/>
              <w:spacing w:after="0"/>
              <w:rPr>
                <w:sz w:val="20"/>
                <w:szCs w:val="20"/>
                <w:color w:val="auto"/>
              </w:rPr>
            </w:pPr>
            <w:r>
              <w:rPr>
                <w:rFonts w:ascii="Arial" w:cs="Arial" w:eastAsia="Arial" w:hAnsi="Arial"/>
                <w:sz w:val="18"/>
                <w:szCs w:val="18"/>
                <w:b w:val="1"/>
                <w:bCs w:val="1"/>
                <w:color w:val="auto"/>
              </w:rPr>
              <w:t>Information</w:t>
            </w:r>
          </w:p>
        </w:tc>
        <w:tc>
          <w:tcPr>
            <w:tcW w:w="240" w:type="dxa"/>
            <w:vAlign w:val="bottom"/>
          </w:tcPr>
          <w:p>
            <w:pPr>
              <w:spacing w:after="0"/>
              <w:rPr>
                <w:sz w:val="21"/>
                <w:szCs w:val="21"/>
                <w:color w:val="auto"/>
              </w:rPr>
            </w:pPr>
          </w:p>
        </w:tc>
        <w:tc>
          <w:tcPr>
            <w:tcW w:w="920" w:type="dxa"/>
            <w:vAlign w:val="bottom"/>
          </w:tcPr>
          <w:p>
            <w:pPr>
              <w:jc w:val="right"/>
              <w:ind w:right="172"/>
              <w:spacing w:after="0"/>
              <w:rPr>
                <w:sz w:val="20"/>
                <w:szCs w:val="20"/>
                <w:color w:val="auto"/>
              </w:rPr>
            </w:pPr>
            <w:r>
              <w:rPr>
                <w:rFonts w:ascii="Arial" w:cs="Arial" w:eastAsia="Arial" w:hAnsi="Arial"/>
                <w:sz w:val="18"/>
                <w:szCs w:val="18"/>
                <w:b w:val="1"/>
                <w:bCs w:val="1"/>
                <w:color w:val="auto"/>
                <w:w w:val="90"/>
              </w:rPr>
              <w:t>Banking</w:t>
            </w:r>
          </w:p>
        </w:tc>
        <w:tc>
          <w:tcPr>
            <w:tcW w:w="240" w:type="dxa"/>
            <w:vAlign w:val="bottom"/>
          </w:tcPr>
          <w:p>
            <w:pPr>
              <w:spacing w:after="0"/>
              <w:rPr>
                <w:sz w:val="21"/>
                <w:szCs w:val="21"/>
                <w:color w:val="auto"/>
              </w:rPr>
            </w:pPr>
          </w:p>
        </w:tc>
        <w:tc>
          <w:tcPr>
            <w:tcW w:w="1160" w:type="dxa"/>
            <w:vAlign w:val="bottom"/>
          </w:tcPr>
          <w:p>
            <w:pPr>
              <w:jc w:val="center"/>
              <w:ind w:right="92"/>
              <w:spacing w:after="0"/>
              <w:rPr>
                <w:sz w:val="20"/>
                <w:szCs w:val="20"/>
                <w:color w:val="auto"/>
              </w:rPr>
            </w:pPr>
            <w:r>
              <w:rPr>
                <w:rFonts w:ascii="Arial" w:cs="Arial" w:eastAsia="Arial" w:hAnsi="Arial"/>
                <w:sz w:val="18"/>
                <w:szCs w:val="18"/>
                <w:b w:val="1"/>
                <w:bCs w:val="1"/>
                <w:color w:val="auto"/>
                <w:w w:val="87"/>
              </w:rPr>
              <w:t>Eliminations</w:t>
            </w: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2"/>
        </w:trPr>
        <w:tc>
          <w:tcPr>
            <w:tcW w:w="4180" w:type="dxa"/>
            <w:vAlign w:val="bottom"/>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2460" w:type="dxa"/>
            <w:vAlign w:val="bottom"/>
          </w:tcPr>
          <w:p>
            <w:pPr>
              <w:spacing w:after="0"/>
              <w:rPr>
                <w:sz w:val="21"/>
                <w:szCs w:val="21"/>
                <w:color w:val="auto"/>
              </w:rPr>
            </w:pPr>
          </w:p>
        </w:tc>
        <w:tc>
          <w:tcPr>
            <w:tcW w:w="1020" w:type="dxa"/>
            <w:vAlign w:val="bottom"/>
          </w:tcPr>
          <w:p>
            <w:pPr>
              <w:jc w:val="right"/>
              <w:ind w:right="252"/>
              <w:spacing w:after="0"/>
              <w:rPr>
                <w:sz w:val="20"/>
                <w:szCs w:val="20"/>
                <w:color w:val="auto"/>
              </w:rPr>
            </w:pPr>
            <w:r>
              <w:rPr>
                <w:rFonts w:ascii="Arial" w:cs="Arial" w:eastAsia="Arial" w:hAnsi="Arial"/>
                <w:sz w:val="18"/>
                <w:szCs w:val="18"/>
                <w:b w:val="1"/>
                <w:bCs w:val="1"/>
                <w:color w:val="auto"/>
                <w:w w:val="89"/>
              </w:rPr>
              <w:t>Services</w:t>
            </w:r>
          </w:p>
        </w:tc>
        <w:tc>
          <w:tcPr>
            <w:tcW w:w="240" w:type="dxa"/>
            <w:vAlign w:val="bottom"/>
          </w:tcPr>
          <w:p>
            <w:pPr>
              <w:spacing w:after="0"/>
              <w:rPr>
                <w:sz w:val="21"/>
                <w:szCs w:val="21"/>
                <w:color w:val="auto"/>
              </w:rPr>
            </w:pPr>
          </w:p>
        </w:tc>
        <w:tc>
          <w:tcPr>
            <w:tcW w:w="920" w:type="dxa"/>
            <w:vAlign w:val="bottom"/>
          </w:tcPr>
          <w:p>
            <w:pPr>
              <w:jc w:val="right"/>
              <w:ind w:right="172"/>
              <w:spacing w:after="0"/>
              <w:rPr>
                <w:sz w:val="20"/>
                <w:szCs w:val="20"/>
                <w:color w:val="auto"/>
              </w:rPr>
            </w:pPr>
            <w:r>
              <w:rPr>
                <w:rFonts w:ascii="Arial" w:cs="Arial" w:eastAsia="Arial" w:hAnsi="Arial"/>
                <w:sz w:val="18"/>
                <w:szCs w:val="18"/>
                <w:b w:val="1"/>
                <w:bCs w:val="1"/>
                <w:color w:val="auto"/>
                <w:w w:val="86"/>
              </w:rPr>
              <w:t>Services</w:t>
            </w:r>
          </w:p>
        </w:tc>
        <w:tc>
          <w:tcPr>
            <w:tcW w:w="240" w:type="dxa"/>
            <w:vAlign w:val="bottom"/>
          </w:tcPr>
          <w:p>
            <w:pPr>
              <w:spacing w:after="0"/>
              <w:rPr>
                <w:sz w:val="21"/>
                <w:szCs w:val="21"/>
                <w:color w:val="auto"/>
              </w:rPr>
            </w:pPr>
          </w:p>
        </w:tc>
        <w:tc>
          <w:tcPr>
            <w:tcW w:w="1160" w:type="dxa"/>
            <w:vAlign w:val="bottom"/>
          </w:tcPr>
          <w:p>
            <w:pPr>
              <w:jc w:val="center"/>
              <w:ind w:right="92"/>
              <w:spacing w:after="0"/>
              <w:rPr>
                <w:sz w:val="20"/>
                <w:szCs w:val="20"/>
                <w:color w:val="auto"/>
              </w:rPr>
            </w:pPr>
            <w:r>
              <w:rPr>
                <w:rFonts w:ascii="Arial" w:cs="Arial" w:eastAsia="Arial" w:hAnsi="Arial"/>
                <w:sz w:val="18"/>
                <w:szCs w:val="18"/>
                <w:b w:val="1"/>
                <w:bCs w:val="1"/>
                <w:color w:val="auto"/>
                <w:w w:val="91"/>
              </w:rPr>
              <w:t>and Other</w:t>
            </w:r>
          </w:p>
        </w:tc>
        <w:tc>
          <w:tcPr>
            <w:tcW w:w="380" w:type="dxa"/>
            <w:vAlign w:val="bottom"/>
          </w:tcPr>
          <w:p>
            <w:pPr>
              <w:spacing w:after="0"/>
              <w:rPr>
                <w:sz w:val="21"/>
                <w:szCs w:val="21"/>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Total</w:t>
            </w:r>
          </w:p>
        </w:tc>
      </w:tr>
      <w:tr>
        <w:trPr>
          <w:trHeight w:val="243"/>
        </w:trPr>
        <w:tc>
          <w:tcPr>
            <w:tcW w:w="418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8"/>
                <w:szCs w:val="18"/>
                <w:i w:val="1"/>
                <w:iCs w:val="1"/>
                <w:color w:val="auto"/>
              </w:rPr>
              <w:t>Three Months Ended June 30, 2017</w:t>
            </w:r>
          </w:p>
        </w:tc>
        <w:tc>
          <w:tcPr>
            <w:tcW w:w="2460" w:type="dxa"/>
            <w:vAlign w:val="bottom"/>
            <w:tcBorders>
              <w:top w:val="single" w:sz="8" w:color="auto"/>
            </w:tcBorders>
            <w:shd w:val="clear" w:color="auto" w:fill="C0C0C0"/>
          </w:tcPr>
          <w:p>
            <w:pPr>
              <w:spacing w:after="0"/>
              <w:rPr>
                <w:sz w:val="21"/>
                <w:szCs w:val="21"/>
                <w:color w:val="auto"/>
              </w:rPr>
            </w:pPr>
          </w:p>
        </w:tc>
        <w:tc>
          <w:tcPr>
            <w:tcW w:w="1020" w:type="dxa"/>
            <w:vAlign w:val="bottom"/>
            <w:tcBorders>
              <w:top w:val="single" w:sz="8" w:color="auto"/>
            </w:tcBorders>
            <w:shd w:val="clear" w:color="auto" w:fill="C0C0C0"/>
          </w:tcPr>
          <w:p>
            <w:pPr>
              <w:spacing w:after="0"/>
              <w:rPr>
                <w:sz w:val="21"/>
                <w:szCs w:val="21"/>
                <w:color w:val="auto"/>
              </w:rPr>
            </w:pPr>
          </w:p>
        </w:tc>
        <w:tc>
          <w:tcPr>
            <w:tcW w:w="240" w:type="dxa"/>
            <w:vAlign w:val="bottom"/>
            <w:tcBorders>
              <w:top w:val="single" w:sz="8" w:color="auto"/>
            </w:tcBorders>
            <w:shd w:val="clear" w:color="auto" w:fill="C0C0C0"/>
          </w:tcPr>
          <w:p>
            <w:pPr>
              <w:spacing w:after="0"/>
              <w:rPr>
                <w:sz w:val="21"/>
                <w:szCs w:val="21"/>
                <w:color w:val="auto"/>
              </w:rPr>
            </w:pPr>
          </w:p>
        </w:tc>
        <w:tc>
          <w:tcPr>
            <w:tcW w:w="920" w:type="dxa"/>
            <w:vAlign w:val="bottom"/>
            <w:tcBorders>
              <w:top w:val="single" w:sz="8" w:color="auto"/>
            </w:tcBorders>
            <w:shd w:val="clear" w:color="auto" w:fill="C0C0C0"/>
          </w:tcPr>
          <w:p>
            <w:pPr>
              <w:spacing w:after="0"/>
              <w:rPr>
                <w:sz w:val="21"/>
                <w:szCs w:val="21"/>
                <w:color w:val="auto"/>
              </w:rPr>
            </w:pPr>
          </w:p>
        </w:tc>
        <w:tc>
          <w:tcPr>
            <w:tcW w:w="240" w:type="dxa"/>
            <w:vAlign w:val="bottom"/>
            <w:tcBorders>
              <w:top w:val="single" w:sz="8" w:color="auto"/>
            </w:tcBorders>
            <w:shd w:val="clear" w:color="auto" w:fill="C0C0C0"/>
          </w:tcPr>
          <w:p>
            <w:pPr>
              <w:spacing w:after="0"/>
              <w:rPr>
                <w:sz w:val="21"/>
                <w:szCs w:val="21"/>
                <w:color w:val="auto"/>
              </w:rPr>
            </w:pPr>
          </w:p>
        </w:tc>
        <w:tc>
          <w:tcPr>
            <w:tcW w:w="1160" w:type="dxa"/>
            <w:vAlign w:val="bottom"/>
            <w:tcBorders>
              <w:top w:val="single" w:sz="8" w:color="auto"/>
            </w:tcBorders>
            <w:shd w:val="clear" w:color="auto" w:fill="C0C0C0"/>
          </w:tcPr>
          <w:p>
            <w:pPr>
              <w:spacing w:after="0"/>
              <w:rPr>
                <w:sz w:val="21"/>
                <w:szCs w:val="21"/>
                <w:color w:val="auto"/>
              </w:rPr>
            </w:pPr>
          </w:p>
        </w:tc>
        <w:tc>
          <w:tcPr>
            <w:tcW w:w="380" w:type="dxa"/>
            <w:vAlign w:val="bottom"/>
            <w:tcBorders>
              <w:top w:val="single" w:sz="8" w:color="auto"/>
            </w:tcBorders>
            <w:shd w:val="clear" w:color="auto" w:fill="C0C0C0"/>
          </w:tcPr>
          <w:p>
            <w:pPr>
              <w:spacing w:after="0"/>
              <w:rPr>
                <w:sz w:val="21"/>
                <w:szCs w:val="21"/>
                <w:color w:val="auto"/>
              </w:rPr>
            </w:pPr>
          </w:p>
        </w:tc>
        <w:tc>
          <w:tcPr>
            <w:tcW w:w="820" w:type="dxa"/>
            <w:vAlign w:val="bottom"/>
            <w:tcBorders>
              <w:top w:val="single" w:sz="8" w:color="auto"/>
            </w:tcBorders>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4180" w:type="dxa"/>
            <w:vAlign w:val="bottom"/>
          </w:tcPr>
          <w:p>
            <w:pPr>
              <w:ind w:left="280"/>
              <w:spacing w:after="0"/>
              <w:rPr>
                <w:sz w:val="20"/>
                <w:szCs w:val="20"/>
                <w:color w:val="auto"/>
              </w:rPr>
            </w:pPr>
            <w:r>
              <w:rPr>
                <w:rFonts w:ascii="Arial" w:cs="Arial" w:eastAsia="Arial" w:hAnsi="Arial"/>
                <w:sz w:val="18"/>
                <w:szCs w:val="18"/>
                <w:color w:val="auto"/>
              </w:rPr>
              <w:t>Fee revenue and other income:</w:t>
            </w:r>
          </w:p>
        </w:tc>
        <w:tc>
          <w:tcPr>
            <w:tcW w:w="2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1"/>
        </w:trPr>
        <w:tc>
          <w:tcPr>
            <w:tcW w:w="4180" w:type="dxa"/>
            <w:vAlign w:val="bottom"/>
            <w:shd w:val="clear" w:color="auto" w:fill="C0C0C0"/>
          </w:tcPr>
          <w:p>
            <w:pPr>
              <w:ind w:left="540"/>
              <w:spacing w:after="0"/>
              <w:rPr>
                <w:sz w:val="20"/>
                <w:szCs w:val="20"/>
                <w:color w:val="auto"/>
              </w:rPr>
            </w:pPr>
            <w:r>
              <w:rPr>
                <w:rFonts w:ascii="Arial" w:cs="Arial" w:eastAsia="Arial" w:hAnsi="Arial"/>
                <w:sz w:val="18"/>
                <w:szCs w:val="18"/>
                <w:color w:val="auto"/>
              </w:rPr>
              <w:t>Income from customers</w:t>
            </w:r>
          </w:p>
        </w:tc>
        <w:tc>
          <w:tcPr>
            <w:tcW w:w="24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26,749</w:t>
            </w:r>
          </w:p>
        </w:tc>
        <w:tc>
          <w:tcPr>
            <w:tcW w:w="2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6,913</w:t>
            </w:r>
          </w:p>
        </w:tc>
        <w:tc>
          <w:tcPr>
            <w:tcW w:w="2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0C0C0"/>
          </w:tcPr>
          <w:p>
            <w:pPr>
              <w:jc w:val="right"/>
              <w:ind w:right="312"/>
              <w:spacing w:after="0"/>
              <w:rPr>
                <w:sz w:val="20"/>
                <w:szCs w:val="20"/>
                <w:color w:val="auto"/>
              </w:rPr>
            </w:pPr>
            <w:r>
              <w:rPr>
                <w:rFonts w:ascii="Arial" w:cs="Arial" w:eastAsia="Arial" w:hAnsi="Arial"/>
                <w:sz w:val="18"/>
                <w:szCs w:val="18"/>
                <w:color w:val="auto"/>
              </w:rPr>
              <w:t>—</w:t>
            </w:r>
          </w:p>
        </w:tc>
        <w:tc>
          <w:tcPr>
            <w:tcW w:w="3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33,662</w:t>
            </w:r>
          </w:p>
        </w:tc>
        <w:tc>
          <w:tcPr>
            <w:tcW w:w="20" w:type="dxa"/>
            <w:vAlign w:val="bottom"/>
          </w:tcPr>
          <w:p>
            <w:pPr>
              <w:spacing w:after="0"/>
              <w:rPr>
                <w:sz w:val="21"/>
                <w:szCs w:val="21"/>
                <w:color w:val="auto"/>
              </w:rPr>
            </w:pPr>
          </w:p>
        </w:tc>
      </w:tr>
      <w:tr>
        <w:trPr>
          <w:trHeight w:val="235"/>
        </w:trPr>
        <w:tc>
          <w:tcPr>
            <w:tcW w:w="4180" w:type="dxa"/>
            <w:vAlign w:val="bottom"/>
          </w:tcPr>
          <w:p>
            <w:pPr>
              <w:ind w:left="540"/>
              <w:spacing w:after="0"/>
              <w:rPr>
                <w:sz w:val="20"/>
                <w:szCs w:val="20"/>
                <w:color w:val="auto"/>
              </w:rPr>
            </w:pPr>
            <w:r>
              <w:rPr>
                <w:rFonts w:ascii="Arial" w:cs="Arial" w:eastAsia="Arial" w:hAnsi="Arial"/>
                <w:sz w:val="18"/>
                <w:szCs w:val="18"/>
                <w:color w:val="auto"/>
              </w:rPr>
              <w:t>Intersegment income (expense)</w:t>
            </w:r>
          </w:p>
        </w:tc>
        <w:tc>
          <w:tcPr>
            <w:tcW w:w="246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3,049</w:t>
            </w:r>
          </w:p>
        </w:tc>
        <w:tc>
          <w:tcPr>
            <w:tcW w:w="240" w:type="dxa"/>
            <w:vAlign w:val="bottom"/>
          </w:tcPr>
          <w:p>
            <w:pPr>
              <w:spacing w:after="0"/>
              <w:rPr>
                <w:sz w:val="20"/>
                <w:szCs w:val="20"/>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383</w:t>
            </w:r>
          </w:p>
        </w:tc>
        <w:tc>
          <w:tcPr>
            <w:tcW w:w="240" w:type="dxa"/>
            <w:vAlign w:val="bottom"/>
          </w:tcPr>
          <w:p>
            <w:pPr>
              <w:spacing w:after="0"/>
              <w:rPr>
                <w:sz w:val="20"/>
                <w:szCs w:val="20"/>
                <w:color w:val="auto"/>
              </w:rPr>
            </w:pPr>
          </w:p>
        </w:tc>
        <w:tc>
          <w:tcPr>
            <w:tcW w:w="1160" w:type="dxa"/>
            <w:vAlign w:val="bottom"/>
          </w:tcPr>
          <w:p>
            <w:pPr>
              <w:jc w:val="right"/>
              <w:ind w:right="252"/>
              <w:spacing w:after="0"/>
              <w:rPr>
                <w:sz w:val="20"/>
                <w:szCs w:val="20"/>
                <w:color w:val="auto"/>
              </w:rPr>
            </w:pPr>
            <w:r>
              <w:rPr>
                <w:rFonts w:ascii="Arial" w:cs="Arial" w:eastAsia="Arial" w:hAnsi="Arial"/>
                <w:sz w:val="18"/>
                <w:szCs w:val="18"/>
                <w:color w:val="auto"/>
              </w:rPr>
              <w:t>(3,432)</w:t>
            </w:r>
          </w:p>
        </w:tc>
        <w:tc>
          <w:tcPr>
            <w:tcW w:w="38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51"/>
        </w:trPr>
        <w:tc>
          <w:tcPr>
            <w:tcW w:w="4180" w:type="dxa"/>
            <w:vAlign w:val="bottom"/>
            <w:shd w:val="clear" w:color="auto" w:fill="C0C0C0"/>
          </w:tcPr>
          <w:p>
            <w:pPr>
              <w:ind w:left="280"/>
              <w:spacing w:after="0"/>
              <w:rPr>
                <w:sz w:val="20"/>
                <w:szCs w:val="20"/>
                <w:color w:val="auto"/>
              </w:rPr>
            </w:pPr>
            <w:r>
              <w:rPr>
                <w:rFonts w:ascii="Arial" w:cs="Arial" w:eastAsia="Arial" w:hAnsi="Arial"/>
                <w:sz w:val="18"/>
                <w:szCs w:val="18"/>
                <w:color w:val="auto"/>
              </w:rPr>
              <w:t>Net income</w:t>
            </w:r>
          </w:p>
        </w:tc>
        <w:tc>
          <w:tcPr>
            <w:tcW w:w="2460" w:type="dxa"/>
            <w:vAlign w:val="bottom"/>
            <w:shd w:val="clear" w:color="auto" w:fill="C0C0C0"/>
          </w:tcPr>
          <w:p>
            <w:pPr>
              <w:spacing w:after="0"/>
              <w:rPr>
                <w:sz w:val="21"/>
                <w:szCs w:val="21"/>
                <w:color w:val="auto"/>
              </w:rPr>
            </w:pPr>
          </w:p>
        </w:tc>
        <w:tc>
          <w:tcPr>
            <w:tcW w:w="10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3,932</w:t>
            </w:r>
          </w:p>
        </w:tc>
        <w:tc>
          <w:tcPr>
            <w:tcW w:w="24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2,581</w:t>
            </w:r>
          </w:p>
        </w:tc>
        <w:tc>
          <w:tcPr>
            <w:tcW w:w="240" w:type="dxa"/>
            <w:vAlign w:val="bottom"/>
            <w:shd w:val="clear" w:color="auto" w:fill="C0C0C0"/>
          </w:tcPr>
          <w:p>
            <w:pPr>
              <w:spacing w:after="0"/>
              <w:rPr>
                <w:sz w:val="21"/>
                <w:szCs w:val="21"/>
                <w:color w:val="auto"/>
              </w:rPr>
            </w:pPr>
          </w:p>
        </w:tc>
        <w:tc>
          <w:tcPr>
            <w:tcW w:w="1160" w:type="dxa"/>
            <w:vAlign w:val="bottom"/>
            <w:shd w:val="clear" w:color="auto" w:fill="C0C0C0"/>
          </w:tcPr>
          <w:p>
            <w:pPr>
              <w:jc w:val="right"/>
              <w:ind w:right="312"/>
              <w:spacing w:after="0"/>
              <w:rPr>
                <w:sz w:val="20"/>
                <w:szCs w:val="20"/>
                <w:color w:val="auto"/>
              </w:rPr>
            </w:pPr>
            <w:r>
              <w:rPr>
                <w:rFonts w:ascii="Arial" w:cs="Arial" w:eastAsia="Arial" w:hAnsi="Arial"/>
                <w:sz w:val="18"/>
                <w:szCs w:val="18"/>
                <w:color w:val="auto"/>
              </w:rPr>
              <w:t>—</w:t>
            </w:r>
          </w:p>
        </w:tc>
        <w:tc>
          <w:tcPr>
            <w:tcW w:w="380" w:type="dxa"/>
            <w:vAlign w:val="bottom"/>
            <w:shd w:val="clear" w:color="auto" w:fill="C0C0C0"/>
          </w:tcPr>
          <w:p>
            <w:pPr>
              <w:spacing w:after="0"/>
              <w:rPr>
                <w:sz w:val="21"/>
                <w:szCs w:val="21"/>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6,513</w:t>
            </w:r>
          </w:p>
        </w:tc>
        <w:tc>
          <w:tcPr>
            <w:tcW w:w="20" w:type="dxa"/>
            <w:vAlign w:val="bottom"/>
          </w:tcPr>
          <w:p>
            <w:pPr>
              <w:spacing w:after="0"/>
              <w:rPr>
                <w:sz w:val="21"/>
                <w:szCs w:val="21"/>
                <w:color w:val="auto"/>
              </w:rPr>
            </w:pPr>
          </w:p>
        </w:tc>
      </w:tr>
      <w:tr>
        <w:trPr>
          <w:trHeight w:val="235"/>
        </w:trPr>
        <w:tc>
          <w:tcPr>
            <w:tcW w:w="4180" w:type="dxa"/>
            <w:vAlign w:val="bottom"/>
          </w:tcPr>
          <w:p>
            <w:pPr>
              <w:ind w:left="280"/>
              <w:spacing w:after="0"/>
              <w:rPr>
                <w:sz w:val="20"/>
                <w:szCs w:val="20"/>
                <w:color w:val="auto"/>
              </w:rPr>
            </w:pPr>
            <w:r>
              <w:rPr>
                <w:rFonts w:ascii="Arial" w:cs="Arial" w:eastAsia="Arial" w:hAnsi="Arial"/>
                <w:sz w:val="18"/>
                <w:szCs w:val="18"/>
                <w:color w:val="auto"/>
              </w:rPr>
              <w:t>Goodwill</w:t>
            </w:r>
          </w:p>
        </w:tc>
        <w:tc>
          <w:tcPr>
            <w:tcW w:w="246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12,433</w:t>
            </w:r>
          </w:p>
        </w:tc>
        <w:tc>
          <w:tcPr>
            <w:tcW w:w="240" w:type="dxa"/>
            <w:vAlign w:val="bottom"/>
          </w:tcPr>
          <w:p>
            <w:pPr>
              <w:spacing w:after="0"/>
              <w:rPr>
                <w:sz w:val="20"/>
                <w:szCs w:val="20"/>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136</w:t>
            </w:r>
          </w:p>
        </w:tc>
        <w:tc>
          <w:tcPr>
            <w:tcW w:w="240" w:type="dxa"/>
            <w:vAlign w:val="bottom"/>
          </w:tcPr>
          <w:p>
            <w:pPr>
              <w:spacing w:after="0"/>
              <w:rPr>
                <w:sz w:val="20"/>
                <w:szCs w:val="20"/>
                <w:color w:val="auto"/>
              </w:rPr>
            </w:pPr>
          </w:p>
        </w:tc>
        <w:tc>
          <w:tcPr>
            <w:tcW w:w="116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12,569</w:t>
            </w:r>
          </w:p>
        </w:tc>
      </w:tr>
      <w:tr>
        <w:trPr>
          <w:trHeight w:val="251"/>
        </w:trPr>
        <w:tc>
          <w:tcPr>
            <w:tcW w:w="4180" w:type="dxa"/>
            <w:vAlign w:val="bottom"/>
            <w:shd w:val="clear" w:color="auto" w:fill="C0C0C0"/>
          </w:tcPr>
          <w:p>
            <w:pPr>
              <w:ind w:left="280"/>
              <w:spacing w:after="0"/>
              <w:rPr>
                <w:sz w:val="20"/>
                <w:szCs w:val="20"/>
                <w:color w:val="auto"/>
              </w:rPr>
            </w:pPr>
            <w:r>
              <w:rPr>
                <w:rFonts w:ascii="Arial" w:cs="Arial" w:eastAsia="Arial" w:hAnsi="Arial"/>
                <w:sz w:val="18"/>
                <w:szCs w:val="18"/>
                <w:color w:val="auto"/>
              </w:rPr>
              <w:t>Other intangible assets, net</w:t>
            </w:r>
          </w:p>
        </w:tc>
        <w:tc>
          <w:tcPr>
            <w:tcW w:w="2460" w:type="dxa"/>
            <w:vAlign w:val="bottom"/>
            <w:shd w:val="clear" w:color="auto" w:fill="C0C0C0"/>
          </w:tcPr>
          <w:p>
            <w:pPr>
              <w:spacing w:after="0"/>
              <w:rPr>
                <w:sz w:val="21"/>
                <w:szCs w:val="21"/>
                <w:color w:val="auto"/>
              </w:rPr>
            </w:pPr>
          </w:p>
        </w:tc>
        <w:tc>
          <w:tcPr>
            <w:tcW w:w="10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2,217</w:t>
            </w:r>
          </w:p>
        </w:tc>
        <w:tc>
          <w:tcPr>
            <w:tcW w:w="24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shd w:val="clear" w:color="auto" w:fill="C0C0C0"/>
          </w:tcPr>
          <w:p>
            <w:pPr>
              <w:spacing w:after="0"/>
              <w:rPr>
                <w:sz w:val="21"/>
                <w:szCs w:val="21"/>
                <w:color w:val="auto"/>
              </w:rPr>
            </w:pPr>
          </w:p>
        </w:tc>
        <w:tc>
          <w:tcPr>
            <w:tcW w:w="1160" w:type="dxa"/>
            <w:vAlign w:val="bottom"/>
            <w:shd w:val="clear" w:color="auto" w:fill="C0C0C0"/>
          </w:tcPr>
          <w:p>
            <w:pPr>
              <w:jc w:val="right"/>
              <w:ind w:right="312"/>
              <w:spacing w:after="0"/>
              <w:rPr>
                <w:sz w:val="20"/>
                <w:szCs w:val="20"/>
                <w:color w:val="auto"/>
              </w:rPr>
            </w:pPr>
            <w:r>
              <w:rPr>
                <w:rFonts w:ascii="Arial" w:cs="Arial" w:eastAsia="Arial" w:hAnsi="Arial"/>
                <w:sz w:val="18"/>
                <w:szCs w:val="18"/>
                <w:color w:val="auto"/>
              </w:rPr>
              <w:t>—</w:t>
            </w:r>
          </w:p>
        </w:tc>
        <w:tc>
          <w:tcPr>
            <w:tcW w:w="380" w:type="dxa"/>
            <w:vAlign w:val="bottom"/>
            <w:shd w:val="clear" w:color="auto" w:fill="C0C0C0"/>
          </w:tcPr>
          <w:p>
            <w:pPr>
              <w:spacing w:after="0"/>
              <w:rPr>
                <w:sz w:val="21"/>
                <w:szCs w:val="21"/>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2,217</w:t>
            </w:r>
          </w:p>
        </w:tc>
        <w:tc>
          <w:tcPr>
            <w:tcW w:w="20" w:type="dxa"/>
            <w:vAlign w:val="bottom"/>
          </w:tcPr>
          <w:p>
            <w:pPr>
              <w:spacing w:after="0"/>
              <w:rPr>
                <w:sz w:val="21"/>
                <w:szCs w:val="21"/>
                <w:color w:val="auto"/>
              </w:rPr>
            </w:pPr>
          </w:p>
        </w:tc>
      </w:tr>
      <w:tr>
        <w:trPr>
          <w:trHeight w:val="237"/>
        </w:trPr>
        <w:tc>
          <w:tcPr>
            <w:tcW w:w="4180" w:type="dxa"/>
            <w:vAlign w:val="bottom"/>
          </w:tcPr>
          <w:p>
            <w:pPr>
              <w:ind w:left="280"/>
              <w:spacing w:after="0"/>
              <w:rPr>
                <w:sz w:val="20"/>
                <w:szCs w:val="20"/>
                <w:color w:val="auto"/>
              </w:rPr>
            </w:pPr>
            <w:r>
              <w:rPr>
                <w:rFonts w:ascii="Arial" w:cs="Arial" w:eastAsia="Arial" w:hAnsi="Arial"/>
                <w:sz w:val="18"/>
                <w:szCs w:val="18"/>
                <w:color w:val="auto"/>
              </w:rPr>
              <w:t>Total assets</w:t>
            </w:r>
          </w:p>
        </w:tc>
        <w:tc>
          <w:tcPr>
            <w:tcW w:w="246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863,562</w:t>
            </w:r>
          </w:p>
        </w:tc>
        <w:tc>
          <w:tcPr>
            <w:tcW w:w="240" w:type="dxa"/>
            <w:vAlign w:val="bottom"/>
          </w:tcPr>
          <w:p>
            <w:pPr>
              <w:spacing w:after="0"/>
              <w:rPr>
                <w:sz w:val="20"/>
                <w:szCs w:val="20"/>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742,659</w:t>
            </w:r>
          </w:p>
        </w:tc>
        <w:tc>
          <w:tcPr>
            <w:tcW w:w="240" w:type="dxa"/>
            <w:vAlign w:val="bottom"/>
          </w:tcPr>
          <w:p>
            <w:pPr>
              <w:spacing w:after="0"/>
              <w:rPr>
                <w:sz w:val="20"/>
                <w:szCs w:val="20"/>
                <w:color w:val="auto"/>
              </w:rPr>
            </w:pPr>
          </w:p>
        </w:tc>
        <w:tc>
          <w:tcPr>
            <w:tcW w:w="1160" w:type="dxa"/>
            <w:vAlign w:val="bottom"/>
          </w:tcPr>
          <w:p>
            <w:pPr>
              <w:jc w:val="right"/>
              <w:ind w:right="252"/>
              <w:spacing w:after="0"/>
              <w:rPr>
                <w:sz w:val="20"/>
                <w:szCs w:val="20"/>
                <w:color w:val="auto"/>
              </w:rPr>
            </w:pPr>
            <w:r>
              <w:rPr>
                <w:rFonts w:ascii="Arial" w:cs="Arial" w:eastAsia="Arial" w:hAnsi="Arial"/>
                <w:sz w:val="18"/>
                <w:szCs w:val="18"/>
                <w:color w:val="auto"/>
              </w:rPr>
              <w:t>(12,939)</w:t>
            </w:r>
          </w:p>
        </w:tc>
        <w:tc>
          <w:tcPr>
            <w:tcW w:w="38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1,593,282</w:t>
            </w:r>
          </w:p>
        </w:tc>
      </w:tr>
      <w:tr>
        <w:trPr>
          <w:trHeight w:val="243"/>
        </w:trPr>
        <w:tc>
          <w:tcPr>
            <w:tcW w:w="418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8"/>
                <w:szCs w:val="18"/>
                <w:i w:val="1"/>
                <w:iCs w:val="1"/>
                <w:color w:val="auto"/>
              </w:rPr>
              <w:t>Three Months Ended June 30, 2016</w:t>
            </w:r>
          </w:p>
        </w:tc>
        <w:tc>
          <w:tcPr>
            <w:tcW w:w="2460" w:type="dxa"/>
            <w:vAlign w:val="bottom"/>
            <w:tcBorders>
              <w:top w:val="single" w:sz="8" w:color="auto"/>
            </w:tcBorders>
            <w:shd w:val="clear" w:color="auto" w:fill="C0C0C0"/>
          </w:tcPr>
          <w:p>
            <w:pPr>
              <w:spacing w:after="0"/>
              <w:rPr>
                <w:sz w:val="21"/>
                <w:szCs w:val="21"/>
                <w:color w:val="auto"/>
              </w:rPr>
            </w:pPr>
          </w:p>
        </w:tc>
        <w:tc>
          <w:tcPr>
            <w:tcW w:w="1020" w:type="dxa"/>
            <w:vAlign w:val="bottom"/>
            <w:tcBorders>
              <w:top w:val="single" w:sz="8" w:color="auto"/>
            </w:tcBorders>
            <w:shd w:val="clear" w:color="auto" w:fill="C0C0C0"/>
          </w:tcPr>
          <w:p>
            <w:pPr>
              <w:spacing w:after="0"/>
              <w:rPr>
                <w:sz w:val="21"/>
                <w:szCs w:val="21"/>
                <w:color w:val="auto"/>
              </w:rPr>
            </w:pPr>
          </w:p>
        </w:tc>
        <w:tc>
          <w:tcPr>
            <w:tcW w:w="240" w:type="dxa"/>
            <w:vAlign w:val="bottom"/>
            <w:tcBorders>
              <w:top w:val="single" w:sz="8" w:color="auto"/>
            </w:tcBorders>
            <w:shd w:val="clear" w:color="auto" w:fill="C0C0C0"/>
          </w:tcPr>
          <w:p>
            <w:pPr>
              <w:spacing w:after="0"/>
              <w:rPr>
                <w:sz w:val="21"/>
                <w:szCs w:val="21"/>
                <w:color w:val="auto"/>
              </w:rPr>
            </w:pPr>
          </w:p>
        </w:tc>
        <w:tc>
          <w:tcPr>
            <w:tcW w:w="920" w:type="dxa"/>
            <w:vAlign w:val="bottom"/>
            <w:tcBorders>
              <w:top w:val="single" w:sz="8" w:color="auto"/>
            </w:tcBorders>
            <w:shd w:val="clear" w:color="auto" w:fill="C0C0C0"/>
          </w:tcPr>
          <w:p>
            <w:pPr>
              <w:spacing w:after="0"/>
              <w:rPr>
                <w:sz w:val="21"/>
                <w:szCs w:val="21"/>
                <w:color w:val="auto"/>
              </w:rPr>
            </w:pPr>
          </w:p>
        </w:tc>
        <w:tc>
          <w:tcPr>
            <w:tcW w:w="240" w:type="dxa"/>
            <w:vAlign w:val="bottom"/>
            <w:tcBorders>
              <w:top w:val="single" w:sz="8" w:color="auto"/>
            </w:tcBorders>
            <w:shd w:val="clear" w:color="auto" w:fill="C0C0C0"/>
          </w:tcPr>
          <w:p>
            <w:pPr>
              <w:spacing w:after="0"/>
              <w:rPr>
                <w:sz w:val="21"/>
                <w:szCs w:val="21"/>
                <w:color w:val="auto"/>
              </w:rPr>
            </w:pPr>
          </w:p>
        </w:tc>
        <w:tc>
          <w:tcPr>
            <w:tcW w:w="1160" w:type="dxa"/>
            <w:vAlign w:val="bottom"/>
            <w:tcBorders>
              <w:top w:val="single" w:sz="8" w:color="auto"/>
            </w:tcBorders>
            <w:shd w:val="clear" w:color="auto" w:fill="C0C0C0"/>
          </w:tcPr>
          <w:p>
            <w:pPr>
              <w:spacing w:after="0"/>
              <w:rPr>
                <w:sz w:val="21"/>
                <w:szCs w:val="21"/>
                <w:color w:val="auto"/>
              </w:rPr>
            </w:pPr>
          </w:p>
        </w:tc>
        <w:tc>
          <w:tcPr>
            <w:tcW w:w="380" w:type="dxa"/>
            <w:vAlign w:val="bottom"/>
            <w:tcBorders>
              <w:top w:val="single" w:sz="8" w:color="auto"/>
            </w:tcBorders>
            <w:shd w:val="clear" w:color="auto" w:fill="C0C0C0"/>
          </w:tcPr>
          <w:p>
            <w:pPr>
              <w:spacing w:after="0"/>
              <w:rPr>
                <w:sz w:val="21"/>
                <w:szCs w:val="21"/>
                <w:color w:val="auto"/>
              </w:rPr>
            </w:pPr>
          </w:p>
        </w:tc>
        <w:tc>
          <w:tcPr>
            <w:tcW w:w="820" w:type="dxa"/>
            <w:vAlign w:val="bottom"/>
            <w:tcBorders>
              <w:top w:val="single" w:sz="8" w:color="auto"/>
            </w:tcBorders>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4180" w:type="dxa"/>
            <w:vAlign w:val="bottom"/>
          </w:tcPr>
          <w:p>
            <w:pPr>
              <w:ind w:left="280"/>
              <w:spacing w:after="0"/>
              <w:rPr>
                <w:sz w:val="20"/>
                <w:szCs w:val="20"/>
                <w:color w:val="auto"/>
              </w:rPr>
            </w:pPr>
            <w:r>
              <w:rPr>
                <w:rFonts w:ascii="Arial" w:cs="Arial" w:eastAsia="Arial" w:hAnsi="Arial"/>
                <w:sz w:val="18"/>
                <w:szCs w:val="18"/>
                <w:color w:val="auto"/>
              </w:rPr>
              <w:t>Fee revenue and other income</w:t>
            </w:r>
          </w:p>
        </w:tc>
        <w:tc>
          <w:tcPr>
            <w:tcW w:w="2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1"/>
        </w:trPr>
        <w:tc>
          <w:tcPr>
            <w:tcW w:w="4180" w:type="dxa"/>
            <w:vAlign w:val="bottom"/>
            <w:shd w:val="clear" w:color="auto" w:fill="C0C0C0"/>
          </w:tcPr>
          <w:p>
            <w:pPr>
              <w:ind w:left="540"/>
              <w:spacing w:after="0"/>
              <w:rPr>
                <w:sz w:val="20"/>
                <w:szCs w:val="20"/>
                <w:color w:val="auto"/>
              </w:rPr>
            </w:pPr>
            <w:r>
              <w:rPr>
                <w:rFonts w:ascii="Arial" w:cs="Arial" w:eastAsia="Arial" w:hAnsi="Arial"/>
                <w:sz w:val="18"/>
                <w:szCs w:val="18"/>
                <w:color w:val="auto"/>
              </w:rPr>
              <w:t>Income from customers</w:t>
            </w:r>
          </w:p>
        </w:tc>
        <w:tc>
          <w:tcPr>
            <w:tcW w:w="24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24,436</w:t>
            </w:r>
          </w:p>
        </w:tc>
        <w:tc>
          <w:tcPr>
            <w:tcW w:w="2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6,527</w:t>
            </w:r>
          </w:p>
        </w:tc>
        <w:tc>
          <w:tcPr>
            <w:tcW w:w="2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0C0C0"/>
          </w:tcPr>
          <w:p>
            <w:pPr>
              <w:jc w:val="right"/>
              <w:ind w:right="312"/>
              <w:spacing w:after="0"/>
              <w:rPr>
                <w:sz w:val="20"/>
                <w:szCs w:val="20"/>
                <w:color w:val="auto"/>
              </w:rPr>
            </w:pPr>
            <w:r>
              <w:rPr>
                <w:rFonts w:ascii="Arial" w:cs="Arial" w:eastAsia="Arial" w:hAnsi="Arial"/>
                <w:sz w:val="18"/>
                <w:szCs w:val="18"/>
                <w:color w:val="auto"/>
              </w:rPr>
              <w:t>—</w:t>
            </w:r>
          </w:p>
        </w:tc>
        <w:tc>
          <w:tcPr>
            <w:tcW w:w="3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30,963</w:t>
            </w:r>
          </w:p>
        </w:tc>
        <w:tc>
          <w:tcPr>
            <w:tcW w:w="20" w:type="dxa"/>
            <w:vAlign w:val="bottom"/>
          </w:tcPr>
          <w:p>
            <w:pPr>
              <w:spacing w:after="0"/>
              <w:rPr>
                <w:sz w:val="21"/>
                <w:szCs w:val="21"/>
                <w:color w:val="auto"/>
              </w:rPr>
            </w:pPr>
          </w:p>
        </w:tc>
      </w:tr>
      <w:tr>
        <w:trPr>
          <w:trHeight w:val="235"/>
        </w:trPr>
        <w:tc>
          <w:tcPr>
            <w:tcW w:w="4180" w:type="dxa"/>
            <w:vAlign w:val="bottom"/>
          </w:tcPr>
          <w:p>
            <w:pPr>
              <w:ind w:left="540"/>
              <w:spacing w:after="0"/>
              <w:rPr>
                <w:sz w:val="20"/>
                <w:szCs w:val="20"/>
                <w:color w:val="auto"/>
              </w:rPr>
            </w:pPr>
            <w:r>
              <w:rPr>
                <w:rFonts w:ascii="Arial" w:cs="Arial" w:eastAsia="Arial" w:hAnsi="Arial"/>
                <w:sz w:val="18"/>
                <w:szCs w:val="18"/>
                <w:color w:val="auto"/>
              </w:rPr>
              <w:t>Intersegment income (expense)</w:t>
            </w:r>
          </w:p>
        </w:tc>
        <w:tc>
          <w:tcPr>
            <w:tcW w:w="246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2,815</w:t>
            </w:r>
          </w:p>
        </w:tc>
        <w:tc>
          <w:tcPr>
            <w:tcW w:w="240" w:type="dxa"/>
            <w:vAlign w:val="bottom"/>
          </w:tcPr>
          <w:p>
            <w:pPr>
              <w:spacing w:after="0"/>
              <w:rPr>
                <w:sz w:val="20"/>
                <w:szCs w:val="20"/>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403</w:t>
            </w:r>
          </w:p>
        </w:tc>
        <w:tc>
          <w:tcPr>
            <w:tcW w:w="240" w:type="dxa"/>
            <w:vAlign w:val="bottom"/>
          </w:tcPr>
          <w:p>
            <w:pPr>
              <w:spacing w:after="0"/>
              <w:rPr>
                <w:sz w:val="20"/>
                <w:szCs w:val="20"/>
                <w:color w:val="auto"/>
              </w:rPr>
            </w:pPr>
          </w:p>
        </w:tc>
        <w:tc>
          <w:tcPr>
            <w:tcW w:w="1160" w:type="dxa"/>
            <w:vAlign w:val="bottom"/>
          </w:tcPr>
          <w:p>
            <w:pPr>
              <w:jc w:val="right"/>
              <w:ind w:right="252"/>
              <w:spacing w:after="0"/>
              <w:rPr>
                <w:sz w:val="20"/>
                <w:szCs w:val="20"/>
                <w:color w:val="auto"/>
              </w:rPr>
            </w:pPr>
            <w:r>
              <w:rPr>
                <w:rFonts w:ascii="Arial" w:cs="Arial" w:eastAsia="Arial" w:hAnsi="Arial"/>
                <w:sz w:val="18"/>
                <w:szCs w:val="18"/>
                <w:color w:val="auto"/>
              </w:rPr>
              <w:t>(3,218)</w:t>
            </w:r>
          </w:p>
        </w:tc>
        <w:tc>
          <w:tcPr>
            <w:tcW w:w="38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51"/>
        </w:trPr>
        <w:tc>
          <w:tcPr>
            <w:tcW w:w="4180" w:type="dxa"/>
            <w:vAlign w:val="bottom"/>
            <w:shd w:val="clear" w:color="auto" w:fill="C0C0C0"/>
          </w:tcPr>
          <w:p>
            <w:pPr>
              <w:ind w:left="280"/>
              <w:spacing w:after="0"/>
              <w:rPr>
                <w:sz w:val="20"/>
                <w:szCs w:val="20"/>
                <w:color w:val="auto"/>
              </w:rPr>
            </w:pPr>
            <w:r>
              <w:rPr>
                <w:rFonts w:ascii="Arial" w:cs="Arial" w:eastAsia="Arial" w:hAnsi="Arial"/>
                <w:sz w:val="18"/>
                <w:szCs w:val="18"/>
                <w:color w:val="auto"/>
              </w:rPr>
              <w:t>Net income</w:t>
            </w:r>
          </w:p>
        </w:tc>
        <w:tc>
          <w:tcPr>
            <w:tcW w:w="2460" w:type="dxa"/>
            <w:vAlign w:val="bottom"/>
            <w:shd w:val="clear" w:color="auto" w:fill="C0C0C0"/>
          </w:tcPr>
          <w:p>
            <w:pPr>
              <w:spacing w:after="0"/>
              <w:rPr>
                <w:sz w:val="21"/>
                <w:szCs w:val="21"/>
                <w:color w:val="auto"/>
              </w:rPr>
            </w:pPr>
          </w:p>
        </w:tc>
        <w:tc>
          <w:tcPr>
            <w:tcW w:w="10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3,478</w:t>
            </w:r>
          </w:p>
        </w:tc>
        <w:tc>
          <w:tcPr>
            <w:tcW w:w="24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2,391</w:t>
            </w:r>
          </w:p>
        </w:tc>
        <w:tc>
          <w:tcPr>
            <w:tcW w:w="240" w:type="dxa"/>
            <w:vAlign w:val="bottom"/>
            <w:shd w:val="clear" w:color="auto" w:fill="C0C0C0"/>
          </w:tcPr>
          <w:p>
            <w:pPr>
              <w:spacing w:after="0"/>
              <w:rPr>
                <w:sz w:val="21"/>
                <w:szCs w:val="21"/>
                <w:color w:val="auto"/>
              </w:rPr>
            </w:pPr>
          </w:p>
        </w:tc>
        <w:tc>
          <w:tcPr>
            <w:tcW w:w="1160" w:type="dxa"/>
            <w:vAlign w:val="bottom"/>
            <w:shd w:val="clear" w:color="auto" w:fill="C0C0C0"/>
          </w:tcPr>
          <w:p>
            <w:pPr>
              <w:jc w:val="right"/>
              <w:ind w:right="312"/>
              <w:spacing w:after="0"/>
              <w:rPr>
                <w:sz w:val="20"/>
                <w:szCs w:val="20"/>
                <w:color w:val="auto"/>
              </w:rPr>
            </w:pPr>
            <w:r>
              <w:rPr>
                <w:rFonts w:ascii="Arial" w:cs="Arial" w:eastAsia="Arial" w:hAnsi="Arial"/>
                <w:sz w:val="18"/>
                <w:szCs w:val="18"/>
                <w:color w:val="auto"/>
              </w:rPr>
              <w:t>—</w:t>
            </w:r>
          </w:p>
        </w:tc>
        <w:tc>
          <w:tcPr>
            <w:tcW w:w="380" w:type="dxa"/>
            <w:vAlign w:val="bottom"/>
            <w:shd w:val="clear" w:color="auto" w:fill="C0C0C0"/>
          </w:tcPr>
          <w:p>
            <w:pPr>
              <w:spacing w:after="0"/>
              <w:rPr>
                <w:sz w:val="21"/>
                <w:szCs w:val="21"/>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5,869</w:t>
            </w:r>
          </w:p>
        </w:tc>
        <w:tc>
          <w:tcPr>
            <w:tcW w:w="20" w:type="dxa"/>
            <w:vAlign w:val="bottom"/>
          </w:tcPr>
          <w:p>
            <w:pPr>
              <w:spacing w:after="0"/>
              <w:rPr>
                <w:sz w:val="21"/>
                <w:szCs w:val="21"/>
                <w:color w:val="auto"/>
              </w:rPr>
            </w:pPr>
          </w:p>
        </w:tc>
      </w:tr>
      <w:tr>
        <w:trPr>
          <w:trHeight w:val="235"/>
        </w:trPr>
        <w:tc>
          <w:tcPr>
            <w:tcW w:w="4180" w:type="dxa"/>
            <w:vAlign w:val="bottom"/>
          </w:tcPr>
          <w:p>
            <w:pPr>
              <w:ind w:left="280"/>
              <w:spacing w:after="0"/>
              <w:rPr>
                <w:sz w:val="20"/>
                <w:szCs w:val="20"/>
                <w:color w:val="auto"/>
              </w:rPr>
            </w:pPr>
            <w:r>
              <w:rPr>
                <w:rFonts w:ascii="Arial" w:cs="Arial" w:eastAsia="Arial" w:hAnsi="Arial"/>
                <w:sz w:val="18"/>
                <w:szCs w:val="18"/>
                <w:color w:val="auto"/>
              </w:rPr>
              <w:t>Goodwill</w:t>
            </w:r>
          </w:p>
        </w:tc>
        <w:tc>
          <w:tcPr>
            <w:tcW w:w="246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11,454</w:t>
            </w:r>
          </w:p>
        </w:tc>
        <w:tc>
          <w:tcPr>
            <w:tcW w:w="240" w:type="dxa"/>
            <w:vAlign w:val="bottom"/>
          </w:tcPr>
          <w:p>
            <w:pPr>
              <w:spacing w:after="0"/>
              <w:rPr>
                <w:sz w:val="20"/>
                <w:szCs w:val="20"/>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136</w:t>
            </w:r>
          </w:p>
        </w:tc>
        <w:tc>
          <w:tcPr>
            <w:tcW w:w="240" w:type="dxa"/>
            <w:vAlign w:val="bottom"/>
          </w:tcPr>
          <w:p>
            <w:pPr>
              <w:spacing w:after="0"/>
              <w:rPr>
                <w:sz w:val="20"/>
                <w:szCs w:val="20"/>
                <w:color w:val="auto"/>
              </w:rPr>
            </w:pPr>
          </w:p>
        </w:tc>
        <w:tc>
          <w:tcPr>
            <w:tcW w:w="116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11,590</w:t>
            </w:r>
          </w:p>
        </w:tc>
      </w:tr>
      <w:tr>
        <w:trPr>
          <w:trHeight w:val="251"/>
        </w:trPr>
        <w:tc>
          <w:tcPr>
            <w:tcW w:w="4180" w:type="dxa"/>
            <w:vAlign w:val="bottom"/>
            <w:shd w:val="clear" w:color="auto" w:fill="C0C0C0"/>
          </w:tcPr>
          <w:p>
            <w:pPr>
              <w:ind w:left="280"/>
              <w:spacing w:after="0"/>
              <w:rPr>
                <w:sz w:val="20"/>
                <w:szCs w:val="20"/>
                <w:color w:val="auto"/>
              </w:rPr>
            </w:pPr>
            <w:r>
              <w:rPr>
                <w:rFonts w:ascii="Arial" w:cs="Arial" w:eastAsia="Arial" w:hAnsi="Arial"/>
                <w:sz w:val="18"/>
                <w:szCs w:val="18"/>
                <w:color w:val="auto"/>
              </w:rPr>
              <w:t>Other intangible assets, net</w:t>
            </w:r>
          </w:p>
        </w:tc>
        <w:tc>
          <w:tcPr>
            <w:tcW w:w="2460" w:type="dxa"/>
            <w:vAlign w:val="bottom"/>
            <w:shd w:val="clear" w:color="auto" w:fill="C0C0C0"/>
          </w:tcPr>
          <w:p>
            <w:pPr>
              <w:spacing w:after="0"/>
              <w:rPr>
                <w:sz w:val="21"/>
                <w:szCs w:val="21"/>
                <w:color w:val="auto"/>
              </w:rPr>
            </w:pPr>
          </w:p>
        </w:tc>
        <w:tc>
          <w:tcPr>
            <w:tcW w:w="10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2,201</w:t>
            </w:r>
          </w:p>
        </w:tc>
        <w:tc>
          <w:tcPr>
            <w:tcW w:w="24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shd w:val="clear" w:color="auto" w:fill="C0C0C0"/>
          </w:tcPr>
          <w:p>
            <w:pPr>
              <w:spacing w:after="0"/>
              <w:rPr>
                <w:sz w:val="21"/>
                <w:szCs w:val="21"/>
                <w:color w:val="auto"/>
              </w:rPr>
            </w:pPr>
          </w:p>
        </w:tc>
        <w:tc>
          <w:tcPr>
            <w:tcW w:w="1160" w:type="dxa"/>
            <w:vAlign w:val="bottom"/>
            <w:shd w:val="clear" w:color="auto" w:fill="C0C0C0"/>
          </w:tcPr>
          <w:p>
            <w:pPr>
              <w:jc w:val="right"/>
              <w:ind w:right="312"/>
              <w:spacing w:after="0"/>
              <w:rPr>
                <w:sz w:val="20"/>
                <w:szCs w:val="20"/>
                <w:color w:val="auto"/>
              </w:rPr>
            </w:pPr>
            <w:r>
              <w:rPr>
                <w:rFonts w:ascii="Arial" w:cs="Arial" w:eastAsia="Arial" w:hAnsi="Arial"/>
                <w:sz w:val="18"/>
                <w:szCs w:val="18"/>
                <w:color w:val="auto"/>
              </w:rPr>
              <w:t>—</w:t>
            </w:r>
          </w:p>
        </w:tc>
        <w:tc>
          <w:tcPr>
            <w:tcW w:w="380" w:type="dxa"/>
            <w:vAlign w:val="bottom"/>
            <w:shd w:val="clear" w:color="auto" w:fill="C0C0C0"/>
          </w:tcPr>
          <w:p>
            <w:pPr>
              <w:spacing w:after="0"/>
              <w:rPr>
                <w:sz w:val="21"/>
                <w:szCs w:val="21"/>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2,201</w:t>
            </w:r>
          </w:p>
        </w:tc>
        <w:tc>
          <w:tcPr>
            <w:tcW w:w="20" w:type="dxa"/>
            <w:vAlign w:val="bottom"/>
          </w:tcPr>
          <w:p>
            <w:pPr>
              <w:spacing w:after="0"/>
              <w:rPr>
                <w:sz w:val="21"/>
                <w:szCs w:val="21"/>
                <w:color w:val="auto"/>
              </w:rPr>
            </w:pPr>
          </w:p>
        </w:tc>
      </w:tr>
      <w:tr>
        <w:trPr>
          <w:trHeight w:val="237"/>
        </w:trPr>
        <w:tc>
          <w:tcPr>
            <w:tcW w:w="4180" w:type="dxa"/>
            <w:vAlign w:val="bottom"/>
          </w:tcPr>
          <w:p>
            <w:pPr>
              <w:ind w:left="280"/>
              <w:spacing w:after="0"/>
              <w:rPr>
                <w:sz w:val="20"/>
                <w:szCs w:val="20"/>
                <w:color w:val="auto"/>
              </w:rPr>
            </w:pPr>
            <w:r>
              <w:rPr>
                <w:rFonts w:ascii="Arial" w:cs="Arial" w:eastAsia="Arial" w:hAnsi="Arial"/>
                <w:sz w:val="18"/>
                <w:szCs w:val="18"/>
                <w:color w:val="auto"/>
              </w:rPr>
              <w:t>Total assets</w:t>
            </w:r>
          </w:p>
        </w:tc>
        <w:tc>
          <w:tcPr>
            <w:tcW w:w="246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777,312</w:t>
            </w:r>
          </w:p>
        </w:tc>
        <w:tc>
          <w:tcPr>
            <w:tcW w:w="240" w:type="dxa"/>
            <w:vAlign w:val="bottom"/>
          </w:tcPr>
          <w:p>
            <w:pPr>
              <w:spacing w:after="0"/>
              <w:rPr>
                <w:sz w:val="20"/>
                <w:szCs w:val="20"/>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753,333</w:t>
            </w:r>
          </w:p>
        </w:tc>
        <w:tc>
          <w:tcPr>
            <w:tcW w:w="240" w:type="dxa"/>
            <w:vAlign w:val="bottom"/>
          </w:tcPr>
          <w:p>
            <w:pPr>
              <w:spacing w:after="0"/>
              <w:rPr>
                <w:sz w:val="20"/>
                <w:szCs w:val="20"/>
                <w:color w:val="auto"/>
              </w:rPr>
            </w:pPr>
          </w:p>
        </w:tc>
        <w:tc>
          <w:tcPr>
            <w:tcW w:w="1160" w:type="dxa"/>
            <w:vAlign w:val="bottom"/>
          </w:tcPr>
          <w:p>
            <w:pPr>
              <w:jc w:val="right"/>
              <w:ind w:right="252"/>
              <w:spacing w:after="0"/>
              <w:rPr>
                <w:sz w:val="20"/>
                <w:szCs w:val="20"/>
                <w:color w:val="auto"/>
              </w:rPr>
            </w:pPr>
            <w:r>
              <w:rPr>
                <w:rFonts w:ascii="Arial" w:cs="Arial" w:eastAsia="Arial" w:hAnsi="Arial"/>
                <w:sz w:val="18"/>
                <w:szCs w:val="18"/>
                <w:color w:val="auto"/>
              </w:rPr>
              <w:t>(9,461)</w:t>
            </w:r>
          </w:p>
        </w:tc>
        <w:tc>
          <w:tcPr>
            <w:tcW w:w="38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1,521,184</w:t>
            </w:r>
          </w:p>
        </w:tc>
      </w:tr>
      <w:tr>
        <w:trPr>
          <w:trHeight w:val="243"/>
        </w:trPr>
        <w:tc>
          <w:tcPr>
            <w:tcW w:w="418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8"/>
                <w:szCs w:val="18"/>
                <w:i w:val="1"/>
                <w:iCs w:val="1"/>
                <w:color w:val="auto"/>
              </w:rPr>
              <w:t>Six Months Ended June 30, 2017</w:t>
            </w:r>
          </w:p>
        </w:tc>
        <w:tc>
          <w:tcPr>
            <w:tcW w:w="2460" w:type="dxa"/>
            <w:vAlign w:val="bottom"/>
            <w:tcBorders>
              <w:top w:val="single" w:sz="8" w:color="auto"/>
            </w:tcBorders>
            <w:shd w:val="clear" w:color="auto" w:fill="C0C0C0"/>
          </w:tcPr>
          <w:p>
            <w:pPr>
              <w:spacing w:after="0"/>
              <w:rPr>
                <w:sz w:val="21"/>
                <w:szCs w:val="21"/>
                <w:color w:val="auto"/>
              </w:rPr>
            </w:pPr>
          </w:p>
        </w:tc>
        <w:tc>
          <w:tcPr>
            <w:tcW w:w="1020" w:type="dxa"/>
            <w:vAlign w:val="bottom"/>
            <w:tcBorders>
              <w:top w:val="single" w:sz="8" w:color="auto"/>
            </w:tcBorders>
            <w:shd w:val="clear" w:color="auto" w:fill="C0C0C0"/>
          </w:tcPr>
          <w:p>
            <w:pPr>
              <w:spacing w:after="0"/>
              <w:rPr>
                <w:sz w:val="21"/>
                <w:szCs w:val="21"/>
                <w:color w:val="auto"/>
              </w:rPr>
            </w:pPr>
          </w:p>
        </w:tc>
        <w:tc>
          <w:tcPr>
            <w:tcW w:w="240" w:type="dxa"/>
            <w:vAlign w:val="bottom"/>
            <w:tcBorders>
              <w:top w:val="single" w:sz="8" w:color="auto"/>
            </w:tcBorders>
            <w:shd w:val="clear" w:color="auto" w:fill="C0C0C0"/>
          </w:tcPr>
          <w:p>
            <w:pPr>
              <w:spacing w:after="0"/>
              <w:rPr>
                <w:sz w:val="21"/>
                <w:szCs w:val="21"/>
                <w:color w:val="auto"/>
              </w:rPr>
            </w:pPr>
          </w:p>
        </w:tc>
        <w:tc>
          <w:tcPr>
            <w:tcW w:w="920" w:type="dxa"/>
            <w:vAlign w:val="bottom"/>
            <w:tcBorders>
              <w:top w:val="single" w:sz="8" w:color="auto"/>
            </w:tcBorders>
            <w:shd w:val="clear" w:color="auto" w:fill="C0C0C0"/>
          </w:tcPr>
          <w:p>
            <w:pPr>
              <w:spacing w:after="0"/>
              <w:rPr>
                <w:sz w:val="21"/>
                <w:szCs w:val="21"/>
                <w:color w:val="auto"/>
              </w:rPr>
            </w:pPr>
          </w:p>
        </w:tc>
        <w:tc>
          <w:tcPr>
            <w:tcW w:w="240" w:type="dxa"/>
            <w:vAlign w:val="bottom"/>
            <w:tcBorders>
              <w:top w:val="single" w:sz="8" w:color="auto"/>
            </w:tcBorders>
            <w:shd w:val="clear" w:color="auto" w:fill="C0C0C0"/>
          </w:tcPr>
          <w:p>
            <w:pPr>
              <w:spacing w:after="0"/>
              <w:rPr>
                <w:sz w:val="21"/>
                <w:szCs w:val="21"/>
                <w:color w:val="auto"/>
              </w:rPr>
            </w:pPr>
          </w:p>
        </w:tc>
        <w:tc>
          <w:tcPr>
            <w:tcW w:w="1160" w:type="dxa"/>
            <w:vAlign w:val="bottom"/>
            <w:tcBorders>
              <w:top w:val="single" w:sz="8" w:color="auto"/>
            </w:tcBorders>
            <w:shd w:val="clear" w:color="auto" w:fill="C0C0C0"/>
          </w:tcPr>
          <w:p>
            <w:pPr>
              <w:spacing w:after="0"/>
              <w:rPr>
                <w:sz w:val="21"/>
                <w:szCs w:val="21"/>
                <w:color w:val="auto"/>
              </w:rPr>
            </w:pPr>
          </w:p>
        </w:tc>
        <w:tc>
          <w:tcPr>
            <w:tcW w:w="380" w:type="dxa"/>
            <w:vAlign w:val="bottom"/>
            <w:tcBorders>
              <w:top w:val="single" w:sz="8" w:color="auto"/>
            </w:tcBorders>
            <w:shd w:val="clear" w:color="auto" w:fill="C0C0C0"/>
          </w:tcPr>
          <w:p>
            <w:pPr>
              <w:spacing w:after="0"/>
              <w:rPr>
                <w:sz w:val="21"/>
                <w:szCs w:val="21"/>
                <w:color w:val="auto"/>
              </w:rPr>
            </w:pPr>
          </w:p>
        </w:tc>
        <w:tc>
          <w:tcPr>
            <w:tcW w:w="820" w:type="dxa"/>
            <w:vAlign w:val="bottom"/>
            <w:tcBorders>
              <w:top w:val="single" w:sz="8" w:color="auto"/>
            </w:tcBorders>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4180" w:type="dxa"/>
            <w:vAlign w:val="bottom"/>
          </w:tcPr>
          <w:p>
            <w:pPr>
              <w:ind w:left="280"/>
              <w:spacing w:after="0"/>
              <w:rPr>
                <w:sz w:val="20"/>
                <w:szCs w:val="20"/>
                <w:color w:val="auto"/>
              </w:rPr>
            </w:pPr>
            <w:r>
              <w:rPr>
                <w:rFonts w:ascii="Arial" w:cs="Arial" w:eastAsia="Arial" w:hAnsi="Arial"/>
                <w:sz w:val="18"/>
                <w:szCs w:val="18"/>
                <w:color w:val="auto"/>
              </w:rPr>
              <w:t>Fee revenue and other income:</w:t>
            </w:r>
          </w:p>
        </w:tc>
        <w:tc>
          <w:tcPr>
            <w:tcW w:w="2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1"/>
        </w:trPr>
        <w:tc>
          <w:tcPr>
            <w:tcW w:w="4180" w:type="dxa"/>
            <w:vAlign w:val="bottom"/>
            <w:shd w:val="clear" w:color="auto" w:fill="C0C0C0"/>
          </w:tcPr>
          <w:p>
            <w:pPr>
              <w:ind w:left="540"/>
              <w:spacing w:after="0"/>
              <w:rPr>
                <w:sz w:val="20"/>
                <w:szCs w:val="20"/>
                <w:color w:val="auto"/>
              </w:rPr>
            </w:pPr>
            <w:r>
              <w:rPr>
                <w:rFonts w:ascii="Arial" w:cs="Arial" w:eastAsia="Arial" w:hAnsi="Arial"/>
                <w:sz w:val="18"/>
                <w:szCs w:val="18"/>
                <w:color w:val="auto"/>
              </w:rPr>
              <w:t>Income from customers</w:t>
            </w:r>
          </w:p>
        </w:tc>
        <w:tc>
          <w:tcPr>
            <w:tcW w:w="24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52,395</w:t>
            </w:r>
          </w:p>
        </w:tc>
        <w:tc>
          <w:tcPr>
            <w:tcW w:w="2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13,557</w:t>
            </w:r>
          </w:p>
        </w:tc>
        <w:tc>
          <w:tcPr>
            <w:tcW w:w="2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0C0C0"/>
          </w:tcPr>
          <w:p>
            <w:pPr>
              <w:jc w:val="right"/>
              <w:ind w:right="312"/>
              <w:spacing w:after="0"/>
              <w:rPr>
                <w:sz w:val="20"/>
                <w:szCs w:val="20"/>
                <w:color w:val="auto"/>
              </w:rPr>
            </w:pPr>
            <w:r>
              <w:rPr>
                <w:rFonts w:ascii="Arial" w:cs="Arial" w:eastAsia="Arial" w:hAnsi="Arial"/>
                <w:sz w:val="18"/>
                <w:szCs w:val="18"/>
                <w:color w:val="auto"/>
              </w:rPr>
              <w:t>—</w:t>
            </w:r>
          </w:p>
        </w:tc>
        <w:tc>
          <w:tcPr>
            <w:tcW w:w="3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65,952</w:t>
            </w:r>
          </w:p>
        </w:tc>
        <w:tc>
          <w:tcPr>
            <w:tcW w:w="20" w:type="dxa"/>
            <w:vAlign w:val="bottom"/>
          </w:tcPr>
          <w:p>
            <w:pPr>
              <w:spacing w:after="0"/>
              <w:rPr>
                <w:sz w:val="21"/>
                <w:szCs w:val="21"/>
                <w:color w:val="auto"/>
              </w:rPr>
            </w:pPr>
          </w:p>
        </w:tc>
      </w:tr>
      <w:tr>
        <w:trPr>
          <w:trHeight w:val="235"/>
        </w:trPr>
        <w:tc>
          <w:tcPr>
            <w:tcW w:w="4180" w:type="dxa"/>
            <w:vAlign w:val="bottom"/>
          </w:tcPr>
          <w:p>
            <w:pPr>
              <w:ind w:left="540"/>
              <w:spacing w:after="0"/>
              <w:rPr>
                <w:sz w:val="20"/>
                <w:szCs w:val="20"/>
                <w:color w:val="auto"/>
              </w:rPr>
            </w:pPr>
            <w:r>
              <w:rPr>
                <w:rFonts w:ascii="Arial" w:cs="Arial" w:eastAsia="Arial" w:hAnsi="Arial"/>
                <w:sz w:val="18"/>
                <w:szCs w:val="18"/>
                <w:color w:val="auto"/>
              </w:rPr>
              <w:t>Intersegment income (expense)</w:t>
            </w:r>
          </w:p>
        </w:tc>
        <w:tc>
          <w:tcPr>
            <w:tcW w:w="246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6,013</w:t>
            </w:r>
          </w:p>
        </w:tc>
        <w:tc>
          <w:tcPr>
            <w:tcW w:w="240" w:type="dxa"/>
            <w:vAlign w:val="bottom"/>
          </w:tcPr>
          <w:p>
            <w:pPr>
              <w:spacing w:after="0"/>
              <w:rPr>
                <w:sz w:val="20"/>
                <w:szCs w:val="20"/>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744</w:t>
            </w:r>
          </w:p>
        </w:tc>
        <w:tc>
          <w:tcPr>
            <w:tcW w:w="240" w:type="dxa"/>
            <w:vAlign w:val="bottom"/>
          </w:tcPr>
          <w:p>
            <w:pPr>
              <w:spacing w:after="0"/>
              <w:rPr>
                <w:sz w:val="20"/>
                <w:szCs w:val="20"/>
                <w:color w:val="auto"/>
              </w:rPr>
            </w:pPr>
          </w:p>
        </w:tc>
        <w:tc>
          <w:tcPr>
            <w:tcW w:w="1160" w:type="dxa"/>
            <w:vAlign w:val="bottom"/>
          </w:tcPr>
          <w:p>
            <w:pPr>
              <w:jc w:val="right"/>
              <w:ind w:right="252"/>
              <w:spacing w:after="0"/>
              <w:rPr>
                <w:sz w:val="20"/>
                <w:szCs w:val="20"/>
                <w:color w:val="auto"/>
              </w:rPr>
            </w:pPr>
            <w:r>
              <w:rPr>
                <w:rFonts w:ascii="Arial" w:cs="Arial" w:eastAsia="Arial" w:hAnsi="Arial"/>
                <w:sz w:val="18"/>
                <w:szCs w:val="18"/>
                <w:color w:val="auto"/>
              </w:rPr>
              <w:t>(6,757)</w:t>
            </w:r>
          </w:p>
        </w:tc>
        <w:tc>
          <w:tcPr>
            <w:tcW w:w="38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51"/>
        </w:trPr>
        <w:tc>
          <w:tcPr>
            <w:tcW w:w="4180" w:type="dxa"/>
            <w:vAlign w:val="bottom"/>
            <w:shd w:val="clear" w:color="auto" w:fill="C0C0C0"/>
          </w:tcPr>
          <w:p>
            <w:pPr>
              <w:ind w:left="280"/>
              <w:spacing w:after="0"/>
              <w:rPr>
                <w:sz w:val="20"/>
                <w:szCs w:val="20"/>
                <w:color w:val="auto"/>
              </w:rPr>
            </w:pPr>
            <w:r>
              <w:rPr>
                <w:rFonts w:ascii="Arial" w:cs="Arial" w:eastAsia="Arial" w:hAnsi="Arial"/>
                <w:sz w:val="18"/>
                <w:szCs w:val="18"/>
                <w:color w:val="auto"/>
              </w:rPr>
              <w:t>Net income</w:t>
            </w:r>
          </w:p>
        </w:tc>
        <w:tc>
          <w:tcPr>
            <w:tcW w:w="2460" w:type="dxa"/>
            <w:vAlign w:val="bottom"/>
            <w:shd w:val="clear" w:color="auto" w:fill="C0C0C0"/>
          </w:tcPr>
          <w:p>
            <w:pPr>
              <w:spacing w:after="0"/>
              <w:rPr>
                <w:sz w:val="21"/>
                <w:szCs w:val="21"/>
                <w:color w:val="auto"/>
              </w:rPr>
            </w:pPr>
          </w:p>
        </w:tc>
        <w:tc>
          <w:tcPr>
            <w:tcW w:w="10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7,755</w:t>
            </w:r>
          </w:p>
        </w:tc>
        <w:tc>
          <w:tcPr>
            <w:tcW w:w="24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5,065</w:t>
            </w:r>
          </w:p>
        </w:tc>
        <w:tc>
          <w:tcPr>
            <w:tcW w:w="240" w:type="dxa"/>
            <w:vAlign w:val="bottom"/>
            <w:shd w:val="clear" w:color="auto" w:fill="C0C0C0"/>
          </w:tcPr>
          <w:p>
            <w:pPr>
              <w:spacing w:after="0"/>
              <w:rPr>
                <w:sz w:val="21"/>
                <w:szCs w:val="21"/>
                <w:color w:val="auto"/>
              </w:rPr>
            </w:pPr>
          </w:p>
        </w:tc>
        <w:tc>
          <w:tcPr>
            <w:tcW w:w="1160" w:type="dxa"/>
            <w:vAlign w:val="bottom"/>
            <w:shd w:val="clear" w:color="auto" w:fill="C0C0C0"/>
          </w:tcPr>
          <w:p>
            <w:pPr>
              <w:jc w:val="right"/>
              <w:ind w:right="312"/>
              <w:spacing w:after="0"/>
              <w:rPr>
                <w:sz w:val="20"/>
                <w:szCs w:val="20"/>
                <w:color w:val="auto"/>
              </w:rPr>
            </w:pPr>
            <w:r>
              <w:rPr>
                <w:rFonts w:ascii="Arial" w:cs="Arial" w:eastAsia="Arial" w:hAnsi="Arial"/>
                <w:sz w:val="18"/>
                <w:szCs w:val="18"/>
                <w:color w:val="auto"/>
              </w:rPr>
              <w:t>—</w:t>
            </w:r>
          </w:p>
        </w:tc>
        <w:tc>
          <w:tcPr>
            <w:tcW w:w="380" w:type="dxa"/>
            <w:vAlign w:val="bottom"/>
            <w:shd w:val="clear" w:color="auto" w:fill="C0C0C0"/>
          </w:tcPr>
          <w:p>
            <w:pPr>
              <w:spacing w:after="0"/>
              <w:rPr>
                <w:sz w:val="21"/>
                <w:szCs w:val="21"/>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12,820</w:t>
            </w:r>
          </w:p>
        </w:tc>
        <w:tc>
          <w:tcPr>
            <w:tcW w:w="20" w:type="dxa"/>
            <w:vAlign w:val="bottom"/>
          </w:tcPr>
          <w:p>
            <w:pPr>
              <w:spacing w:after="0"/>
              <w:rPr>
                <w:sz w:val="21"/>
                <w:szCs w:val="21"/>
                <w:color w:val="auto"/>
              </w:rPr>
            </w:pPr>
          </w:p>
        </w:tc>
      </w:tr>
      <w:tr>
        <w:trPr>
          <w:trHeight w:val="235"/>
        </w:trPr>
        <w:tc>
          <w:tcPr>
            <w:tcW w:w="4180" w:type="dxa"/>
            <w:vAlign w:val="bottom"/>
          </w:tcPr>
          <w:p>
            <w:pPr>
              <w:ind w:left="280"/>
              <w:spacing w:after="0"/>
              <w:rPr>
                <w:sz w:val="20"/>
                <w:szCs w:val="20"/>
                <w:color w:val="auto"/>
              </w:rPr>
            </w:pPr>
            <w:r>
              <w:rPr>
                <w:rFonts w:ascii="Arial" w:cs="Arial" w:eastAsia="Arial" w:hAnsi="Arial"/>
                <w:sz w:val="18"/>
                <w:szCs w:val="18"/>
                <w:color w:val="auto"/>
              </w:rPr>
              <w:t>Goodwill</w:t>
            </w:r>
          </w:p>
        </w:tc>
        <w:tc>
          <w:tcPr>
            <w:tcW w:w="246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12,433</w:t>
            </w:r>
          </w:p>
        </w:tc>
        <w:tc>
          <w:tcPr>
            <w:tcW w:w="240" w:type="dxa"/>
            <w:vAlign w:val="bottom"/>
          </w:tcPr>
          <w:p>
            <w:pPr>
              <w:spacing w:after="0"/>
              <w:rPr>
                <w:sz w:val="20"/>
                <w:szCs w:val="20"/>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136</w:t>
            </w:r>
          </w:p>
        </w:tc>
        <w:tc>
          <w:tcPr>
            <w:tcW w:w="240" w:type="dxa"/>
            <w:vAlign w:val="bottom"/>
          </w:tcPr>
          <w:p>
            <w:pPr>
              <w:spacing w:after="0"/>
              <w:rPr>
                <w:sz w:val="20"/>
                <w:szCs w:val="20"/>
                <w:color w:val="auto"/>
              </w:rPr>
            </w:pPr>
          </w:p>
        </w:tc>
        <w:tc>
          <w:tcPr>
            <w:tcW w:w="116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12,569</w:t>
            </w:r>
          </w:p>
        </w:tc>
      </w:tr>
      <w:tr>
        <w:trPr>
          <w:trHeight w:val="251"/>
        </w:trPr>
        <w:tc>
          <w:tcPr>
            <w:tcW w:w="4180" w:type="dxa"/>
            <w:vAlign w:val="bottom"/>
            <w:shd w:val="clear" w:color="auto" w:fill="C0C0C0"/>
          </w:tcPr>
          <w:p>
            <w:pPr>
              <w:ind w:left="280"/>
              <w:spacing w:after="0"/>
              <w:rPr>
                <w:sz w:val="20"/>
                <w:szCs w:val="20"/>
                <w:color w:val="auto"/>
              </w:rPr>
            </w:pPr>
            <w:r>
              <w:rPr>
                <w:rFonts w:ascii="Arial" w:cs="Arial" w:eastAsia="Arial" w:hAnsi="Arial"/>
                <w:sz w:val="18"/>
                <w:szCs w:val="18"/>
                <w:color w:val="auto"/>
              </w:rPr>
              <w:t>Other intangible assets, net</w:t>
            </w:r>
          </w:p>
        </w:tc>
        <w:tc>
          <w:tcPr>
            <w:tcW w:w="2460" w:type="dxa"/>
            <w:vAlign w:val="bottom"/>
            <w:shd w:val="clear" w:color="auto" w:fill="C0C0C0"/>
          </w:tcPr>
          <w:p>
            <w:pPr>
              <w:spacing w:after="0"/>
              <w:rPr>
                <w:sz w:val="21"/>
                <w:szCs w:val="21"/>
                <w:color w:val="auto"/>
              </w:rPr>
            </w:pPr>
          </w:p>
        </w:tc>
        <w:tc>
          <w:tcPr>
            <w:tcW w:w="10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2,217</w:t>
            </w:r>
          </w:p>
        </w:tc>
        <w:tc>
          <w:tcPr>
            <w:tcW w:w="24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shd w:val="clear" w:color="auto" w:fill="C0C0C0"/>
          </w:tcPr>
          <w:p>
            <w:pPr>
              <w:spacing w:after="0"/>
              <w:rPr>
                <w:sz w:val="21"/>
                <w:szCs w:val="21"/>
                <w:color w:val="auto"/>
              </w:rPr>
            </w:pPr>
          </w:p>
        </w:tc>
        <w:tc>
          <w:tcPr>
            <w:tcW w:w="1160" w:type="dxa"/>
            <w:vAlign w:val="bottom"/>
            <w:shd w:val="clear" w:color="auto" w:fill="C0C0C0"/>
          </w:tcPr>
          <w:p>
            <w:pPr>
              <w:jc w:val="right"/>
              <w:ind w:right="312"/>
              <w:spacing w:after="0"/>
              <w:rPr>
                <w:sz w:val="20"/>
                <w:szCs w:val="20"/>
                <w:color w:val="auto"/>
              </w:rPr>
            </w:pPr>
            <w:r>
              <w:rPr>
                <w:rFonts w:ascii="Arial" w:cs="Arial" w:eastAsia="Arial" w:hAnsi="Arial"/>
                <w:sz w:val="18"/>
                <w:szCs w:val="18"/>
                <w:color w:val="auto"/>
              </w:rPr>
              <w:t>—</w:t>
            </w:r>
          </w:p>
        </w:tc>
        <w:tc>
          <w:tcPr>
            <w:tcW w:w="380" w:type="dxa"/>
            <w:vAlign w:val="bottom"/>
            <w:shd w:val="clear" w:color="auto" w:fill="C0C0C0"/>
          </w:tcPr>
          <w:p>
            <w:pPr>
              <w:spacing w:after="0"/>
              <w:rPr>
                <w:sz w:val="21"/>
                <w:szCs w:val="21"/>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2,217</w:t>
            </w:r>
          </w:p>
        </w:tc>
        <w:tc>
          <w:tcPr>
            <w:tcW w:w="20" w:type="dxa"/>
            <w:vAlign w:val="bottom"/>
          </w:tcPr>
          <w:p>
            <w:pPr>
              <w:spacing w:after="0"/>
              <w:rPr>
                <w:sz w:val="21"/>
                <w:szCs w:val="21"/>
                <w:color w:val="auto"/>
              </w:rPr>
            </w:pPr>
          </w:p>
        </w:tc>
      </w:tr>
      <w:tr>
        <w:trPr>
          <w:trHeight w:val="237"/>
        </w:trPr>
        <w:tc>
          <w:tcPr>
            <w:tcW w:w="4180" w:type="dxa"/>
            <w:vAlign w:val="bottom"/>
          </w:tcPr>
          <w:p>
            <w:pPr>
              <w:ind w:left="280"/>
              <w:spacing w:after="0"/>
              <w:rPr>
                <w:sz w:val="20"/>
                <w:szCs w:val="20"/>
                <w:color w:val="auto"/>
              </w:rPr>
            </w:pPr>
            <w:r>
              <w:rPr>
                <w:rFonts w:ascii="Arial" w:cs="Arial" w:eastAsia="Arial" w:hAnsi="Arial"/>
                <w:sz w:val="18"/>
                <w:szCs w:val="18"/>
                <w:color w:val="auto"/>
              </w:rPr>
              <w:t>Total assets</w:t>
            </w:r>
          </w:p>
        </w:tc>
        <w:tc>
          <w:tcPr>
            <w:tcW w:w="246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863,562</w:t>
            </w:r>
          </w:p>
        </w:tc>
        <w:tc>
          <w:tcPr>
            <w:tcW w:w="240" w:type="dxa"/>
            <w:vAlign w:val="bottom"/>
          </w:tcPr>
          <w:p>
            <w:pPr>
              <w:spacing w:after="0"/>
              <w:rPr>
                <w:sz w:val="20"/>
                <w:szCs w:val="20"/>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742,659</w:t>
            </w:r>
          </w:p>
        </w:tc>
        <w:tc>
          <w:tcPr>
            <w:tcW w:w="240" w:type="dxa"/>
            <w:vAlign w:val="bottom"/>
          </w:tcPr>
          <w:p>
            <w:pPr>
              <w:spacing w:after="0"/>
              <w:rPr>
                <w:sz w:val="20"/>
                <w:szCs w:val="20"/>
                <w:color w:val="auto"/>
              </w:rPr>
            </w:pPr>
          </w:p>
        </w:tc>
        <w:tc>
          <w:tcPr>
            <w:tcW w:w="1160" w:type="dxa"/>
            <w:vAlign w:val="bottom"/>
          </w:tcPr>
          <w:p>
            <w:pPr>
              <w:jc w:val="right"/>
              <w:ind w:right="252"/>
              <w:spacing w:after="0"/>
              <w:rPr>
                <w:sz w:val="20"/>
                <w:szCs w:val="20"/>
                <w:color w:val="auto"/>
              </w:rPr>
            </w:pPr>
            <w:r>
              <w:rPr>
                <w:rFonts w:ascii="Arial" w:cs="Arial" w:eastAsia="Arial" w:hAnsi="Arial"/>
                <w:sz w:val="18"/>
                <w:szCs w:val="18"/>
                <w:color w:val="auto"/>
              </w:rPr>
              <w:t>(12,939)</w:t>
            </w:r>
          </w:p>
        </w:tc>
        <w:tc>
          <w:tcPr>
            <w:tcW w:w="38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1,593,282</w:t>
            </w:r>
          </w:p>
        </w:tc>
      </w:tr>
      <w:tr>
        <w:trPr>
          <w:trHeight w:val="243"/>
        </w:trPr>
        <w:tc>
          <w:tcPr>
            <w:tcW w:w="418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8"/>
                <w:szCs w:val="18"/>
                <w:i w:val="1"/>
                <w:iCs w:val="1"/>
                <w:color w:val="auto"/>
              </w:rPr>
              <w:t>Six Months Ended June 30, 2016</w:t>
            </w:r>
          </w:p>
        </w:tc>
        <w:tc>
          <w:tcPr>
            <w:tcW w:w="2460" w:type="dxa"/>
            <w:vAlign w:val="bottom"/>
            <w:tcBorders>
              <w:top w:val="single" w:sz="8" w:color="auto"/>
            </w:tcBorders>
            <w:shd w:val="clear" w:color="auto" w:fill="C0C0C0"/>
          </w:tcPr>
          <w:p>
            <w:pPr>
              <w:spacing w:after="0"/>
              <w:rPr>
                <w:sz w:val="21"/>
                <w:szCs w:val="21"/>
                <w:color w:val="auto"/>
              </w:rPr>
            </w:pPr>
          </w:p>
        </w:tc>
        <w:tc>
          <w:tcPr>
            <w:tcW w:w="1020" w:type="dxa"/>
            <w:vAlign w:val="bottom"/>
            <w:tcBorders>
              <w:top w:val="single" w:sz="8" w:color="auto"/>
            </w:tcBorders>
            <w:shd w:val="clear" w:color="auto" w:fill="C0C0C0"/>
          </w:tcPr>
          <w:p>
            <w:pPr>
              <w:spacing w:after="0"/>
              <w:rPr>
                <w:sz w:val="21"/>
                <w:szCs w:val="21"/>
                <w:color w:val="auto"/>
              </w:rPr>
            </w:pPr>
          </w:p>
        </w:tc>
        <w:tc>
          <w:tcPr>
            <w:tcW w:w="240" w:type="dxa"/>
            <w:vAlign w:val="bottom"/>
            <w:tcBorders>
              <w:top w:val="single" w:sz="8" w:color="auto"/>
            </w:tcBorders>
            <w:shd w:val="clear" w:color="auto" w:fill="C0C0C0"/>
          </w:tcPr>
          <w:p>
            <w:pPr>
              <w:spacing w:after="0"/>
              <w:rPr>
                <w:sz w:val="21"/>
                <w:szCs w:val="21"/>
                <w:color w:val="auto"/>
              </w:rPr>
            </w:pPr>
          </w:p>
        </w:tc>
        <w:tc>
          <w:tcPr>
            <w:tcW w:w="920" w:type="dxa"/>
            <w:vAlign w:val="bottom"/>
            <w:tcBorders>
              <w:top w:val="single" w:sz="8" w:color="auto"/>
            </w:tcBorders>
            <w:shd w:val="clear" w:color="auto" w:fill="C0C0C0"/>
          </w:tcPr>
          <w:p>
            <w:pPr>
              <w:spacing w:after="0"/>
              <w:rPr>
                <w:sz w:val="21"/>
                <w:szCs w:val="21"/>
                <w:color w:val="auto"/>
              </w:rPr>
            </w:pPr>
          </w:p>
        </w:tc>
        <w:tc>
          <w:tcPr>
            <w:tcW w:w="240" w:type="dxa"/>
            <w:vAlign w:val="bottom"/>
            <w:tcBorders>
              <w:top w:val="single" w:sz="8" w:color="auto"/>
            </w:tcBorders>
            <w:shd w:val="clear" w:color="auto" w:fill="C0C0C0"/>
          </w:tcPr>
          <w:p>
            <w:pPr>
              <w:spacing w:after="0"/>
              <w:rPr>
                <w:sz w:val="21"/>
                <w:szCs w:val="21"/>
                <w:color w:val="auto"/>
              </w:rPr>
            </w:pPr>
          </w:p>
        </w:tc>
        <w:tc>
          <w:tcPr>
            <w:tcW w:w="1160" w:type="dxa"/>
            <w:vAlign w:val="bottom"/>
            <w:tcBorders>
              <w:top w:val="single" w:sz="8" w:color="auto"/>
            </w:tcBorders>
            <w:shd w:val="clear" w:color="auto" w:fill="C0C0C0"/>
          </w:tcPr>
          <w:p>
            <w:pPr>
              <w:spacing w:after="0"/>
              <w:rPr>
                <w:sz w:val="21"/>
                <w:szCs w:val="21"/>
                <w:color w:val="auto"/>
              </w:rPr>
            </w:pPr>
          </w:p>
        </w:tc>
        <w:tc>
          <w:tcPr>
            <w:tcW w:w="380" w:type="dxa"/>
            <w:vAlign w:val="bottom"/>
            <w:tcBorders>
              <w:top w:val="single" w:sz="8" w:color="auto"/>
            </w:tcBorders>
            <w:shd w:val="clear" w:color="auto" w:fill="C0C0C0"/>
          </w:tcPr>
          <w:p>
            <w:pPr>
              <w:spacing w:after="0"/>
              <w:rPr>
                <w:sz w:val="21"/>
                <w:szCs w:val="21"/>
                <w:color w:val="auto"/>
              </w:rPr>
            </w:pPr>
          </w:p>
        </w:tc>
        <w:tc>
          <w:tcPr>
            <w:tcW w:w="820" w:type="dxa"/>
            <w:vAlign w:val="bottom"/>
            <w:tcBorders>
              <w:top w:val="single" w:sz="8" w:color="auto"/>
            </w:tcBorders>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4180" w:type="dxa"/>
            <w:vAlign w:val="bottom"/>
          </w:tcPr>
          <w:p>
            <w:pPr>
              <w:ind w:left="280"/>
              <w:spacing w:after="0"/>
              <w:rPr>
                <w:sz w:val="20"/>
                <w:szCs w:val="20"/>
                <w:color w:val="auto"/>
              </w:rPr>
            </w:pPr>
            <w:r>
              <w:rPr>
                <w:rFonts w:ascii="Arial" w:cs="Arial" w:eastAsia="Arial" w:hAnsi="Arial"/>
                <w:sz w:val="18"/>
                <w:szCs w:val="18"/>
                <w:color w:val="auto"/>
              </w:rPr>
              <w:t>Fee revenue and other income:</w:t>
            </w:r>
          </w:p>
        </w:tc>
        <w:tc>
          <w:tcPr>
            <w:tcW w:w="2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1"/>
        </w:trPr>
        <w:tc>
          <w:tcPr>
            <w:tcW w:w="4180" w:type="dxa"/>
            <w:vAlign w:val="bottom"/>
            <w:shd w:val="clear" w:color="auto" w:fill="C0C0C0"/>
          </w:tcPr>
          <w:p>
            <w:pPr>
              <w:ind w:left="540"/>
              <w:spacing w:after="0"/>
              <w:rPr>
                <w:sz w:val="20"/>
                <w:szCs w:val="20"/>
                <w:color w:val="auto"/>
              </w:rPr>
            </w:pPr>
            <w:r>
              <w:rPr>
                <w:rFonts w:ascii="Arial" w:cs="Arial" w:eastAsia="Arial" w:hAnsi="Arial"/>
                <w:sz w:val="18"/>
                <w:szCs w:val="18"/>
                <w:color w:val="auto"/>
              </w:rPr>
              <w:t>Income from customers</w:t>
            </w:r>
          </w:p>
        </w:tc>
        <w:tc>
          <w:tcPr>
            <w:tcW w:w="24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47,994</w:t>
            </w:r>
          </w:p>
        </w:tc>
        <w:tc>
          <w:tcPr>
            <w:tcW w:w="2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13,738</w:t>
            </w:r>
          </w:p>
        </w:tc>
        <w:tc>
          <w:tcPr>
            <w:tcW w:w="2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0C0C0"/>
          </w:tcPr>
          <w:p>
            <w:pPr>
              <w:jc w:val="right"/>
              <w:ind w:right="312"/>
              <w:spacing w:after="0"/>
              <w:rPr>
                <w:sz w:val="20"/>
                <w:szCs w:val="20"/>
                <w:color w:val="auto"/>
              </w:rPr>
            </w:pPr>
            <w:r>
              <w:rPr>
                <w:rFonts w:ascii="Arial" w:cs="Arial" w:eastAsia="Arial" w:hAnsi="Arial"/>
                <w:sz w:val="18"/>
                <w:szCs w:val="18"/>
                <w:color w:val="auto"/>
              </w:rPr>
              <w:t>—</w:t>
            </w:r>
          </w:p>
        </w:tc>
        <w:tc>
          <w:tcPr>
            <w:tcW w:w="3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61,732</w:t>
            </w:r>
          </w:p>
        </w:tc>
        <w:tc>
          <w:tcPr>
            <w:tcW w:w="20" w:type="dxa"/>
            <w:vAlign w:val="bottom"/>
          </w:tcPr>
          <w:p>
            <w:pPr>
              <w:spacing w:after="0"/>
              <w:rPr>
                <w:sz w:val="21"/>
                <w:szCs w:val="21"/>
                <w:color w:val="auto"/>
              </w:rPr>
            </w:pPr>
          </w:p>
        </w:tc>
      </w:tr>
      <w:tr>
        <w:trPr>
          <w:trHeight w:val="235"/>
        </w:trPr>
        <w:tc>
          <w:tcPr>
            <w:tcW w:w="4180" w:type="dxa"/>
            <w:vAlign w:val="bottom"/>
          </w:tcPr>
          <w:p>
            <w:pPr>
              <w:ind w:left="540"/>
              <w:spacing w:after="0"/>
              <w:rPr>
                <w:sz w:val="20"/>
                <w:szCs w:val="20"/>
                <w:color w:val="auto"/>
              </w:rPr>
            </w:pPr>
            <w:r>
              <w:rPr>
                <w:rFonts w:ascii="Arial" w:cs="Arial" w:eastAsia="Arial" w:hAnsi="Arial"/>
                <w:sz w:val="18"/>
                <w:szCs w:val="18"/>
                <w:color w:val="auto"/>
              </w:rPr>
              <w:t>Intersegment income (expense)</w:t>
            </w:r>
          </w:p>
        </w:tc>
        <w:tc>
          <w:tcPr>
            <w:tcW w:w="246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6,073</w:t>
            </w:r>
          </w:p>
        </w:tc>
        <w:tc>
          <w:tcPr>
            <w:tcW w:w="240" w:type="dxa"/>
            <w:vAlign w:val="bottom"/>
          </w:tcPr>
          <w:p>
            <w:pPr>
              <w:spacing w:after="0"/>
              <w:rPr>
                <w:sz w:val="20"/>
                <w:szCs w:val="20"/>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779</w:t>
            </w:r>
          </w:p>
        </w:tc>
        <w:tc>
          <w:tcPr>
            <w:tcW w:w="240" w:type="dxa"/>
            <w:vAlign w:val="bottom"/>
          </w:tcPr>
          <w:p>
            <w:pPr>
              <w:spacing w:after="0"/>
              <w:rPr>
                <w:sz w:val="20"/>
                <w:szCs w:val="20"/>
                <w:color w:val="auto"/>
              </w:rPr>
            </w:pPr>
          </w:p>
        </w:tc>
        <w:tc>
          <w:tcPr>
            <w:tcW w:w="1160" w:type="dxa"/>
            <w:vAlign w:val="bottom"/>
          </w:tcPr>
          <w:p>
            <w:pPr>
              <w:jc w:val="right"/>
              <w:ind w:right="252"/>
              <w:spacing w:after="0"/>
              <w:rPr>
                <w:sz w:val="20"/>
                <w:szCs w:val="20"/>
                <w:color w:val="auto"/>
              </w:rPr>
            </w:pPr>
            <w:r>
              <w:rPr>
                <w:rFonts w:ascii="Arial" w:cs="Arial" w:eastAsia="Arial" w:hAnsi="Arial"/>
                <w:sz w:val="18"/>
                <w:szCs w:val="18"/>
                <w:color w:val="auto"/>
              </w:rPr>
              <w:t>(6,852)</w:t>
            </w:r>
          </w:p>
        </w:tc>
        <w:tc>
          <w:tcPr>
            <w:tcW w:w="38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51"/>
        </w:trPr>
        <w:tc>
          <w:tcPr>
            <w:tcW w:w="4180" w:type="dxa"/>
            <w:vAlign w:val="bottom"/>
            <w:shd w:val="clear" w:color="auto" w:fill="C0C0C0"/>
          </w:tcPr>
          <w:p>
            <w:pPr>
              <w:ind w:left="280"/>
              <w:spacing w:after="0"/>
              <w:rPr>
                <w:sz w:val="20"/>
                <w:szCs w:val="20"/>
                <w:color w:val="auto"/>
              </w:rPr>
            </w:pPr>
            <w:r>
              <w:rPr>
                <w:rFonts w:ascii="Arial" w:cs="Arial" w:eastAsia="Arial" w:hAnsi="Arial"/>
                <w:sz w:val="18"/>
                <w:szCs w:val="18"/>
                <w:color w:val="auto"/>
              </w:rPr>
              <w:t>Net income</w:t>
            </w:r>
          </w:p>
        </w:tc>
        <w:tc>
          <w:tcPr>
            <w:tcW w:w="2460" w:type="dxa"/>
            <w:vAlign w:val="bottom"/>
            <w:shd w:val="clear" w:color="auto" w:fill="C0C0C0"/>
          </w:tcPr>
          <w:p>
            <w:pPr>
              <w:spacing w:after="0"/>
              <w:rPr>
                <w:sz w:val="21"/>
                <w:szCs w:val="21"/>
                <w:color w:val="auto"/>
              </w:rPr>
            </w:pPr>
          </w:p>
        </w:tc>
        <w:tc>
          <w:tcPr>
            <w:tcW w:w="10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6,425</w:t>
            </w:r>
          </w:p>
        </w:tc>
        <w:tc>
          <w:tcPr>
            <w:tcW w:w="24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5,277</w:t>
            </w:r>
          </w:p>
        </w:tc>
        <w:tc>
          <w:tcPr>
            <w:tcW w:w="240" w:type="dxa"/>
            <w:vAlign w:val="bottom"/>
            <w:shd w:val="clear" w:color="auto" w:fill="C0C0C0"/>
          </w:tcPr>
          <w:p>
            <w:pPr>
              <w:spacing w:after="0"/>
              <w:rPr>
                <w:sz w:val="21"/>
                <w:szCs w:val="21"/>
                <w:color w:val="auto"/>
              </w:rPr>
            </w:pPr>
          </w:p>
        </w:tc>
        <w:tc>
          <w:tcPr>
            <w:tcW w:w="1160" w:type="dxa"/>
            <w:vAlign w:val="bottom"/>
            <w:shd w:val="clear" w:color="auto" w:fill="C0C0C0"/>
          </w:tcPr>
          <w:p>
            <w:pPr>
              <w:jc w:val="right"/>
              <w:ind w:right="312"/>
              <w:spacing w:after="0"/>
              <w:rPr>
                <w:sz w:val="20"/>
                <w:szCs w:val="20"/>
                <w:color w:val="auto"/>
              </w:rPr>
            </w:pPr>
            <w:r>
              <w:rPr>
                <w:rFonts w:ascii="Arial" w:cs="Arial" w:eastAsia="Arial" w:hAnsi="Arial"/>
                <w:sz w:val="18"/>
                <w:szCs w:val="18"/>
                <w:color w:val="auto"/>
              </w:rPr>
              <w:t>—</w:t>
            </w:r>
          </w:p>
        </w:tc>
        <w:tc>
          <w:tcPr>
            <w:tcW w:w="380" w:type="dxa"/>
            <w:vAlign w:val="bottom"/>
            <w:shd w:val="clear" w:color="auto" w:fill="C0C0C0"/>
          </w:tcPr>
          <w:p>
            <w:pPr>
              <w:spacing w:after="0"/>
              <w:rPr>
                <w:sz w:val="21"/>
                <w:szCs w:val="21"/>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11,702</w:t>
            </w:r>
          </w:p>
        </w:tc>
        <w:tc>
          <w:tcPr>
            <w:tcW w:w="20" w:type="dxa"/>
            <w:vAlign w:val="bottom"/>
          </w:tcPr>
          <w:p>
            <w:pPr>
              <w:spacing w:after="0"/>
              <w:rPr>
                <w:sz w:val="21"/>
                <w:szCs w:val="21"/>
                <w:color w:val="auto"/>
              </w:rPr>
            </w:pPr>
          </w:p>
        </w:tc>
      </w:tr>
      <w:tr>
        <w:trPr>
          <w:trHeight w:val="235"/>
        </w:trPr>
        <w:tc>
          <w:tcPr>
            <w:tcW w:w="4180" w:type="dxa"/>
            <w:vAlign w:val="bottom"/>
          </w:tcPr>
          <w:p>
            <w:pPr>
              <w:ind w:left="280"/>
              <w:spacing w:after="0"/>
              <w:rPr>
                <w:sz w:val="20"/>
                <w:szCs w:val="20"/>
                <w:color w:val="auto"/>
              </w:rPr>
            </w:pPr>
            <w:r>
              <w:rPr>
                <w:rFonts w:ascii="Arial" w:cs="Arial" w:eastAsia="Arial" w:hAnsi="Arial"/>
                <w:sz w:val="18"/>
                <w:szCs w:val="18"/>
                <w:color w:val="auto"/>
              </w:rPr>
              <w:t>Goodwill</w:t>
            </w:r>
          </w:p>
        </w:tc>
        <w:tc>
          <w:tcPr>
            <w:tcW w:w="246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11,454</w:t>
            </w:r>
          </w:p>
        </w:tc>
        <w:tc>
          <w:tcPr>
            <w:tcW w:w="240" w:type="dxa"/>
            <w:vAlign w:val="bottom"/>
          </w:tcPr>
          <w:p>
            <w:pPr>
              <w:spacing w:after="0"/>
              <w:rPr>
                <w:sz w:val="20"/>
                <w:szCs w:val="20"/>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136</w:t>
            </w:r>
          </w:p>
        </w:tc>
        <w:tc>
          <w:tcPr>
            <w:tcW w:w="240" w:type="dxa"/>
            <w:vAlign w:val="bottom"/>
          </w:tcPr>
          <w:p>
            <w:pPr>
              <w:spacing w:after="0"/>
              <w:rPr>
                <w:sz w:val="20"/>
                <w:szCs w:val="20"/>
                <w:color w:val="auto"/>
              </w:rPr>
            </w:pPr>
          </w:p>
        </w:tc>
        <w:tc>
          <w:tcPr>
            <w:tcW w:w="116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11,590</w:t>
            </w:r>
          </w:p>
        </w:tc>
      </w:tr>
      <w:tr>
        <w:trPr>
          <w:trHeight w:val="251"/>
        </w:trPr>
        <w:tc>
          <w:tcPr>
            <w:tcW w:w="4180" w:type="dxa"/>
            <w:vAlign w:val="bottom"/>
            <w:shd w:val="clear" w:color="auto" w:fill="C0C0C0"/>
          </w:tcPr>
          <w:p>
            <w:pPr>
              <w:ind w:left="280"/>
              <w:spacing w:after="0"/>
              <w:rPr>
                <w:sz w:val="20"/>
                <w:szCs w:val="20"/>
                <w:color w:val="auto"/>
              </w:rPr>
            </w:pPr>
            <w:r>
              <w:rPr>
                <w:rFonts w:ascii="Arial" w:cs="Arial" w:eastAsia="Arial" w:hAnsi="Arial"/>
                <w:sz w:val="18"/>
                <w:szCs w:val="18"/>
                <w:color w:val="auto"/>
              </w:rPr>
              <w:t>Other intangible assets, net</w:t>
            </w:r>
          </w:p>
        </w:tc>
        <w:tc>
          <w:tcPr>
            <w:tcW w:w="2460" w:type="dxa"/>
            <w:vAlign w:val="bottom"/>
            <w:shd w:val="clear" w:color="auto" w:fill="C0C0C0"/>
          </w:tcPr>
          <w:p>
            <w:pPr>
              <w:spacing w:after="0"/>
              <w:rPr>
                <w:sz w:val="21"/>
                <w:szCs w:val="21"/>
                <w:color w:val="auto"/>
              </w:rPr>
            </w:pPr>
          </w:p>
        </w:tc>
        <w:tc>
          <w:tcPr>
            <w:tcW w:w="10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2,201</w:t>
            </w:r>
          </w:p>
        </w:tc>
        <w:tc>
          <w:tcPr>
            <w:tcW w:w="24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shd w:val="clear" w:color="auto" w:fill="C0C0C0"/>
          </w:tcPr>
          <w:p>
            <w:pPr>
              <w:spacing w:after="0"/>
              <w:rPr>
                <w:sz w:val="21"/>
                <w:szCs w:val="21"/>
                <w:color w:val="auto"/>
              </w:rPr>
            </w:pPr>
          </w:p>
        </w:tc>
        <w:tc>
          <w:tcPr>
            <w:tcW w:w="1160" w:type="dxa"/>
            <w:vAlign w:val="bottom"/>
            <w:shd w:val="clear" w:color="auto" w:fill="C0C0C0"/>
          </w:tcPr>
          <w:p>
            <w:pPr>
              <w:jc w:val="right"/>
              <w:ind w:right="312"/>
              <w:spacing w:after="0"/>
              <w:rPr>
                <w:sz w:val="20"/>
                <w:szCs w:val="20"/>
                <w:color w:val="auto"/>
              </w:rPr>
            </w:pPr>
            <w:r>
              <w:rPr>
                <w:rFonts w:ascii="Arial" w:cs="Arial" w:eastAsia="Arial" w:hAnsi="Arial"/>
                <w:sz w:val="18"/>
                <w:szCs w:val="18"/>
                <w:color w:val="auto"/>
              </w:rPr>
              <w:t>—</w:t>
            </w:r>
          </w:p>
        </w:tc>
        <w:tc>
          <w:tcPr>
            <w:tcW w:w="380" w:type="dxa"/>
            <w:vAlign w:val="bottom"/>
            <w:shd w:val="clear" w:color="auto" w:fill="C0C0C0"/>
          </w:tcPr>
          <w:p>
            <w:pPr>
              <w:spacing w:after="0"/>
              <w:rPr>
                <w:sz w:val="21"/>
                <w:szCs w:val="21"/>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2,201</w:t>
            </w:r>
          </w:p>
        </w:tc>
        <w:tc>
          <w:tcPr>
            <w:tcW w:w="20" w:type="dxa"/>
            <w:vAlign w:val="bottom"/>
          </w:tcPr>
          <w:p>
            <w:pPr>
              <w:spacing w:after="0"/>
              <w:rPr>
                <w:sz w:val="21"/>
                <w:szCs w:val="21"/>
                <w:color w:val="auto"/>
              </w:rPr>
            </w:pPr>
          </w:p>
        </w:tc>
      </w:tr>
      <w:tr>
        <w:trPr>
          <w:trHeight w:val="237"/>
        </w:trPr>
        <w:tc>
          <w:tcPr>
            <w:tcW w:w="4180" w:type="dxa"/>
            <w:vAlign w:val="bottom"/>
          </w:tcPr>
          <w:p>
            <w:pPr>
              <w:ind w:left="280"/>
              <w:spacing w:after="0"/>
              <w:rPr>
                <w:sz w:val="20"/>
                <w:szCs w:val="20"/>
                <w:color w:val="auto"/>
              </w:rPr>
            </w:pPr>
            <w:r>
              <w:rPr>
                <w:rFonts w:ascii="Arial" w:cs="Arial" w:eastAsia="Arial" w:hAnsi="Arial"/>
                <w:sz w:val="18"/>
                <w:szCs w:val="18"/>
                <w:color w:val="auto"/>
              </w:rPr>
              <w:t>Total assets</w:t>
            </w:r>
          </w:p>
        </w:tc>
        <w:tc>
          <w:tcPr>
            <w:tcW w:w="246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777,312</w:t>
            </w:r>
          </w:p>
        </w:tc>
        <w:tc>
          <w:tcPr>
            <w:tcW w:w="240" w:type="dxa"/>
            <w:vAlign w:val="bottom"/>
          </w:tcPr>
          <w:p>
            <w:pPr>
              <w:spacing w:after="0"/>
              <w:rPr>
                <w:sz w:val="20"/>
                <w:szCs w:val="20"/>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753,333</w:t>
            </w:r>
          </w:p>
        </w:tc>
        <w:tc>
          <w:tcPr>
            <w:tcW w:w="240" w:type="dxa"/>
            <w:vAlign w:val="bottom"/>
          </w:tcPr>
          <w:p>
            <w:pPr>
              <w:spacing w:after="0"/>
              <w:rPr>
                <w:sz w:val="20"/>
                <w:szCs w:val="20"/>
                <w:color w:val="auto"/>
              </w:rPr>
            </w:pPr>
          </w:p>
        </w:tc>
        <w:tc>
          <w:tcPr>
            <w:tcW w:w="1160" w:type="dxa"/>
            <w:vAlign w:val="bottom"/>
          </w:tcPr>
          <w:p>
            <w:pPr>
              <w:jc w:val="right"/>
              <w:ind w:right="252"/>
              <w:spacing w:after="0"/>
              <w:rPr>
                <w:sz w:val="20"/>
                <w:szCs w:val="20"/>
                <w:color w:val="auto"/>
              </w:rPr>
            </w:pPr>
            <w:r>
              <w:rPr>
                <w:rFonts w:ascii="Arial" w:cs="Arial" w:eastAsia="Arial" w:hAnsi="Arial"/>
                <w:sz w:val="18"/>
                <w:szCs w:val="18"/>
                <w:color w:val="auto"/>
              </w:rPr>
              <w:t>(9,461)</w:t>
            </w:r>
          </w:p>
        </w:tc>
        <w:tc>
          <w:tcPr>
            <w:tcW w:w="38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1,521,184</w:t>
            </w:r>
          </w:p>
        </w:tc>
      </w:tr>
      <w:tr>
        <w:trPr>
          <w:trHeight w:val="430"/>
        </w:trPr>
        <w:tc>
          <w:tcPr>
            <w:tcW w:w="4180" w:type="dxa"/>
            <w:vAlign w:val="bottom"/>
            <w:tcBorders>
              <w:top w:val="single" w:sz="8" w:color="auto"/>
            </w:tcBorders>
          </w:tcPr>
          <w:p>
            <w:pPr>
              <w:spacing w:after="0"/>
              <w:rPr>
                <w:sz w:val="24"/>
                <w:szCs w:val="24"/>
                <w:color w:val="auto"/>
              </w:rPr>
            </w:pPr>
          </w:p>
        </w:tc>
        <w:tc>
          <w:tcPr>
            <w:tcW w:w="2460" w:type="dxa"/>
            <w:vAlign w:val="bottom"/>
            <w:tcBorders>
              <w:top w:val="single" w:sz="8" w:color="auto"/>
            </w:tcBorders>
          </w:tcPr>
          <w:p>
            <w:pPr>
              <w:jc w:val="right"/>
              <w:ind w:right="732"/>
              <w:spacing w:after="0"/>
              <w:rPr>
                <w:sz w:val="20"/>
                <w:szCs w:val="20"/>
                <w:color w:val="auto"/>
              </w:rPr>
            </w:pPr>
            <w:r>
              <w:rPr>
                <w:rFonts w:ascii="Arial" w:cs="Arial" w:eastAsia="Arial" w:hAnsi="Arial"/>
                <w:sz w:val="18"/>
                <w:szCs w:val="18"/>
                <w:color w:val="auto"/>
              </w:rPr>
              <w:t>-9-</w:t>
            </w:r>
          </w:p>
        </w:tc>
        <w:tc>
          <w:tcPr>
            <w:tcW w:w="10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4180" w:type="dxa"/>
            <w:vAlign w:val="bottom"/>
            <w:tcBorders>
              <w:bottom w:val="single" w:sz="8" w:color="808080"/>
            </w:tcBorders>
          </w:tcPr>
          <w:p>
            <w:pPr>
              <w:spacing w:after="0"/>
              <w:rPr>
                <w:sz w:val="19"/>
                <w:szCs w:val="19"/>
                <w:color w:val="auto"/>
              </w:rPr>
            </w:pPr>
          </w:p>
        </w:tc>
        <w:tc>
          <w:tcPr>
            <w:tcW w:w="246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31" w:right="21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22"/>
        </w:trPr>
        <w:tc>
          <w:tcPr>
            <w:tcW w:w="4340" w:type="dxa"/>
            <w:vAlign w:val="bottom"/>
          </w:tcPr>
          <w:p>
            <w:pPr>
              <w:spacing w:after="0"/>
              <w:rPr>
                <w:sz w:val="20"/>
                <w:szCs w:val="20"/>
                <w:color w:val="auto"/>
              </w:rPr>
            </w:pPr>
            <w:r>
              <w:rPr>
                <w:rFonts w:ascii="Arial" w:cs="Arial" w:eastAsia="Arial" w:hAnsi="Arial"/>
                <w:sz w:val="18"/>
                <w:szCs w:val="18"/>
                <w:color w:val="auto"/>
              </w:rPr>
              <w:t>Note 6 – Loans by Type</w:t>
            </w:r>
          </w:p>
        </w:tc>
        <w:tc>
          <w:tcPr>
            <w:tcW w:w="1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32"/>
        </w:trPr>
        <w:tc>
          <w:tcPr>
            <w:tcW w:w="4340" w:type="dxa"/>
            <w:vAlign w:val="bottom"/>
          </w:tcPr>
          <w:p>
            <w:pPr>
              <w:spacing w:after="0"/>
              <w:rPr>
                <w:sz w:val="20"/>
                <w:szCs w:val="20"/>
                <w:color w:val="auto"/>
              </w:rPr>
            </w:pPr>
            <w:r>
              <w:rPr>
                <w:rFonts w:ascii="Arial" w:cs="Arial" w:eastAsia="Arial" w:hAnsi="Arial"/>
                <w:sz w:val="18"/>
                <w:szCs w:val="18"/>
                <w:color w:val="auto"/>
              </w:rPr>
              <w:t>A summary of loan categories is as follows:</w:t>
            </w:r>
          </w:p>
        </w:tc>
        <w:tc>
          <w:tcPr>
            <w:tcW w:w="1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46"/>
        </w:trPr>
        <w:tc>
          <w:tcPr>
            <w:tcW w:w="43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gridSpan w:val="3"/>
          </w:tcPr>
          <w:p>
            <w:pPr>
              <w:jc w:val="right"/>
              <w:ind w:right="292"/>
              <w:spacing w:after="0"/>
              <w:rPr>
                <w:sz w:val="20"/>
                <w:szCs w:val="20"/>
                <w:color w:val="auto"/>
              </w:rPr>
            </w:pPr>
            <w:r>
              <w:rPr>
                <w:rFonts w:ascii="Arial" w:cs="Arial" w:eastAsia="Arial" w:hAnsi="Arial"/>
                <w:sz w:val="18"/>
                <w:szCs w:val="18"/>
                <w:b w:val="1"/>
                <w:bCs w:val="1"/>
                <w:color w:val="auto"/>
              </w:rPr>
              <w:t>June 30,</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w w:val="90"/>
              </w:rPr>
              <w:t>December 31,</w:t>
            </w:r>
          </w:p>
        </w:tc>
      </w:tr>
      <w:tr>
        <w:trPr>
          <w:trHeight w:val="252"/>
        </w:trPr>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9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gridSpan w:val="2"/>
          </w:tcPr>
          <w:p>
            <w:pPr>
              <w:jc w:val="right"/>
              <w:ind w:right="432"/>
              <w:spacing w:after="0"/>
              <w:rPr>
                <w:sz w:val="20"/>
                <w:szCs w:val="20"/>
                <w:color w:val="auto"/>
              </w:rPr>
            </w:pPr>
            <w:r>
              <w:rPr>
                <w:rFonts w:ascii="Arial" w:cs="Arial" w:eastAsia="Arial" w:hAnsi="Arial"/>
                <w:sz w:val="18"/>
                <w:szCs w:val="18"/>
                <w:b w:val="1"/>
                <w:bCs w:val="1"/>
                <w:color w:val="auto"/>
                <w:w w:val="84"/>
              </w:rPr>
              <w:t>2017</w:t>
            </w:r>
          </w:p>
        </w:tc>
        <w:tc>
          <w:tcPr>
            <w:tcW w:w="3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w w:val="89"/>
              </w:rPr>
              <w:t>2016</w:t>
            </w:r>
          </w:p>
        </w:tc>
        <w:tc>
          <w:tcPr>
            <w:tcW w:w="20" w:type="dxa"/>
            <w:vAlign w:val="bottom"/>
          </w:tcPr>
          <w:p>
            <w:pPr>
              <w:spacing w:after="0"/>
              <w:rPr>
                <w:sz w:val="21"/>
                <w:szCs w:val="21"/>
                <w:color w:val="auto"/>
              </w:rPr>
            </w:pPr>
          </w:p>
        </w:tc>
      </w:tr>
      <w:tr>
        <w:trPr>
          <w:trHeight w:val="243"/>
        </w:trPr>
        <w:tc>
          <w:tcPr>
            <w:tcW w:w="4340" w:type="dxa"/>
            <w:vAlign w:val="bottom"/>
            <w:shd w:val="clear" w:color="auto" w:fill="C0C0C0"/>
          </w:tcPr>
          <w:p>
            <w:pPr>
              <w:spacing w:after="0"/>
              <w:rPr>
                <w:sz w:val="20"/>
                <w:szCs w:val="20"/>
                <w:color w:val="auto"/>
              </w:rPr>
            </w:pPr>
            <w:r>
              <w:rPr>
                <w:rFonts w:ascii="Arial" w:cs="Arial" w:eastAsia="Arial" w:hAnsi="Arial"/>
                <w:sz w:val="18"/>
                <w:szCs w:val="18"/>
                <w:color w:val="auto"/>
              </w:rPr>
              <w:t>Commercial and industrial</w:t>
            </w:r>
          </w:p>
        </w:tc>
        <w:tc>
          <w:tcPr>
            <w:tcW w:w="1900" w:type="dxa"/>
            <w:vAlign w:val="bottom"/>
            <w:shd w:val="clear" w:color="auto" w:fill="C0C0C0"/>
          </w:tcPr>
          <w:p>
            <w:pPr>
              <w:spacing w:after="0"/>
              <w:rPr>
                <w:sz w:val="21"/>
                <w:szCs w:val="21"/>
                <w:color w:val="auto"/>
              </w:rPr>
            </w:pPr>
          </w:p>
        </w:tc>
        <w:tc>
          <w:tcPr>
            <w:tcW w:w="920" w:type="dxa"/>
            <w:vAlign w:val="bottom"/>
            <w:shd w:val="clear" w:color="auto" w:fill="C0C0C0"/>
          </w:tcPr>
          <w:p>
            <w:pPr>
              <w:spacing w:after="0"/>
              <w:rPr>
                <w:sz w:val="21"/>
                <w:szCs w:val="21"/>
                <w:color w:val="auto"/>
              </w:rPr>
            </w:pPr>
          </w:p>
        </w:tc>
        <w:tc>
          <w:tcPr>
            <w:tcW w:w="44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42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520" w:type="dxa"/>
            <w:vAlign w:val="bottom"/>
            <w:shd w:val="clear" w:color="auto" w:fill="C0C0C0"/>
          </w:tcPr>
          <w:p>
            <w:pPr>
              <w:ind w:left="2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0C0C0"/>
          </w:tcPr>
          <w:p>
            <w:pPr>
              <w:jc w:val="right"/>
              <w:ind w:right="152"/>
              <w:spacing w:after="0"/>
              <w:rPr>
                <w:sz w:val="20"/>
                <w:szCs w:val="20"/>
                <w:color w:val="auto"/>
              </w:rPr>
            </w:pPr>
            <w:r>
              <w:rPr>
                <w:rFonts w:ascii="Arial" w:cs="Arial" w:eastAsia="Arial" w:hAnsi="Arial"/>
                <w:sz w:val="18"/>
                <w:szCs w:val="18"/>
                <w:color w:val="auto"/>
                <w:w w:val="95"/>
              </w:rPr>
              <w:t>225,627</w:t>
            </w:r>
          </w:p>
        </w:tc>
        <w:tc>
          <w:tcPr>
            <w:tcW w:w="36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214,767</w:t>
            </w:r>
          </w:p>
        </w:tc>
        <w:tc>
          <w:tcPr>
            <w:tcW w:w="20" w:type="dxa"/>
            <w:vAlign w:val="bottom"/>
          </w:tcPr>
          <w:p>
            <w:pPr>
              <w:spacing w:after="0"/>
              <w:rPr>
                <w:sz w:val="21"/>
                <w:szCs w:val="21"/>
                <w:color w:val="auto"/>
              </w:rPr>
            </w:pPr>
          </w:p>
        </w:tc>
      </w:tr>
      <w:tr>
        <w:trPr>
          <w:trHeight w:val="235"/>
        </w:trPr>
        <w:tc>
          <w:tcPr>
            <w:tcW w:w="4340" w:type="dxa"/>
            <w:vAlign w:val="bottom"/>
          </w:tcPr>
          <w:p>
            <w:pPr>
              <w:spacing w:after="0"/>
              <w:rPr>
                <w:sz w:val="20"/>
                <w:szCs w:val="20"/>
                <w:color w:val="auto"/>
              </w:rPr>
            </w:pPr>
            <w:r>
              <w:rPr>
                <w:rFonts w:ascii="Arial" w:cs="Arial" w:eastAsia="Arial" w:hAnsi="Arial"/>
                <w:sz w:val="18"/>
                <w:szCs w:val="18"/>
                <w:color w:val="auto"/>
              </w:rPr>
              <w:t>Real estate</w:t>
            </w:r>
          </w:p>
        </w:tc>
        <w:tc>
          <w:tcPr>
            <w:tcW w:w="1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1"/>
        </w:trPr>
        <w:tc>
          <w:tcPr>
            <w:tcW w:w="4340" w:type="dxa"/>
            <w:vAlign w:val="bottom"/>
            <w:shd w:val="clear" w:color="auto" w:fill="C0C0C0"/>
          </w:tcPr>
          <w:p>
            <w:pPr>
              <w:ind w:left="280"/>
              <w:spacing w:after="0"/>
              <w:rPr>
                <w:sz w:val="20"/>
                <w:szCs w:val="20"/>
                <w:color w:val="auto"/>
              </w:rPr>
            </w:pPr>
            <w:r>
              <w:rPr>
                <w:rFonts w:ascii="Arial" w:cs="Arial" w:eastAsia="Arial" w:hAnsi="Arial"/>
                <w:sz w:val="18"/>
                <w:szCs w:val="18"/>
                <w:color w:val="auto"/>
              </w:rPr>
              <w:t>Commercial:</w:t>
            </w:r>
          </w:p>
        </w:tc>
        <w:tc>
          <w:tcPr>
            <w:tcW w:w="1900" w:type="dxa"/>
            <w:vAlign w:val="bottom"/>
            <w:shd w:val="clear" w:color="auto" w:fill="C0C0C0"/>
          </w:tcPr>
          <w:p>
            <w:pPr>
              <w:spacing w:after="0"/>
              <w:rPr>
                <w:sz w:val="21"/>
                <w:szCs w:val="21"/>
                <w:color w:val="auto"/>
              </w:rPr>
            </w:pPr>
          </w:p>
        </w:tc>
        <w:tc>
          <w:tcPr>
            <w:tcW w:w="920" w:type="dxa"/>
            <w:vAlign w:val="bottom"/>
            <w:shd w:val="clear" w:color="auto" w:fill="C0C0C0"/>
          </w:tcPr>
          <w:p>
            <w:pPr>
              <w:spacing w:after="0"/>
              <w:rPr>
                <w:sz w:val="21"/>
                <w:szCs w:val="21"/>
                <w:color w:val="auto"/>
              </w:rPr>
            </w:pPr>
          </w:p>
        </w:tc>
        <w:tc>
          <w:tcPr>
            <w:tcW w:w="44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42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520" w:type="dxa"/>
            <w:vAlign w:val="bottom"/>
            <w:shd w:val="clear" w:color="auto" w:fill="C0C0C0"/>
          </w:tcPr>
          <w:p>
            <w:pPr>
              <w:spacing w:after="0"/>
              <w:rPr>
                <w:sz w:val="21"/>
                <w:szCs w:val="21"/>
                <w:color w:val="auto"/>
              </w:rPr>
            </w:pPr>
          </w:p>
        </w:tc>
        <w:tc>
          <w:tcPr>
            <w:tcW w:w="360" w:type="dxa"/>
            <w:vAlign w:val="bottom"/>
            <w:shd w:val="clear" w:color="auto" w:fill="C0C0C0"/>
          </w:tcPr>
          <w:p>
            <w:pPr>
              <w:spacing w:after="0"/>
              <w:rPr>
                <w:sz w:val="21"/>
                <w:szCs w:val="21"/>
                <w:color w:val="auto"/>
              </w:rPr>
            </w:pPr>
          </w:p>
        </w:tc>
        <w:tc>
          <w:tcPr>
            <w:tcW w:w="520" w:type="dxa"/>
            <w:vAlign w:val="bottom"/>
            <w:shd w:val="clear" w:color="auto" w:fill="C0C0C0"/>
          </w:tcPr>
          <w:p>
            <w:pPr>
              <w:spacing w:after="0"/>
              <w:rPr>
                <w:sz w:val="21"/>
                <w:szCs w:val="21"/>
                <w:color w:val="auto"/>
              </w:rPr>
            </w:pPr>
          </w:p>
        </w:tc>
        <w:tc>
          <w:tcPr>
            <w:tcW w:w="360" w:type="dxa"/>
            <w:vAlign w:val="bottom"/>
            <w:shd w:val="clear" w:color="auto" w:fill="C0C0C0"/>
          </w:tcPr>
          <w:p>
            <w:pPr>
              <w:spacing w:after="0"/>
              <w:rPr>
                <w:sz w:val="21"/>
                <w:szCs w:val="21"/>
                <w:color w:val="auto"/>
              </w:rPr>
            </w:pPr>
          </w:p>
        </w:tc>
        <w:tc>
          <w:tcPr>
            <w:tcW w:w="76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4340" w:type="dxa"/>
            <w:vAlign w:val="bottom"/>
          </w:tcPr>
          <w:p>
            <w:pPr>
              <w:ind w:left="540"/>
              <w:spacing w:after="0"/>
              <w:rPr>
                <w:sz w:val="20"/>
                <w:szCs w:val="20"/>
                <w:color w:val="auto"/>
              </w:rPr>
            </w:pPr>
            <w:r>
              <w:rPr>
                <w:rFonts w:ascii="Arial" w:cs="Arial" w:eastAsia="Arial" w:hAnsi="Arial"/>
                <w:sz w:val="18"/>
                <w:szCs w:val="18"/>
                <w:color w:val="auto"/>
              </w:rPr>
              <w:t>Mortgage</w:t>
            </w:r>
          </w:p>
        </w:tc>
        <w:tc>
          <w:tcPr>
            <w:tcW w:w="1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gridSpan w:val="2"/>
          </w:tcPr>
          <w:p>
            <w:pPr>
              <w:jc w:val="right"/>
              <w:ind w:right="152"/>
              <w:spacing w:after="0"/>
              <w:rPr>
                <w:sz w:val="20"/>
                <w:szCs w:val="20"/>
                <w:color w:val="auto"/>
              </w:rPr>
            </w:pPr>
            <w:r>
              <w:rPr>
                <w:rFonts w:ascii="Arial" w:cs="Arial" w:eastAsia="Arial" w:hAnsi="Arial"/>
                <w:sz w:val="18"/>
                <w:szCs w:val="18"/>
                <w:color w:val="auto"/>
              </w:rPr>
              <w:t>94,367</w:t>
            </w:r>
          </w:p>
        </w:tc>
        <w:tc>
          <w:tcPr>
            <w:tcW w:w="36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104,779</w:t>
            </w:r>
          </w:p>
        </w:tc>
      </w:tr>
      <w:tr>
        <w:trPr>
          <w:trHeight w:val="251"/>
        </w:trPr>
        <w:tc>
          <w:tcPr>
            <w:tcW w:w="4340" w:type="dxa"/>
            <w:vAlign w:val="bottom"/>
            <w:shd w:val="clear" w:color="auto" w:fill="C0C0C0"/>
          </w:tcPr>
          <w:p>
            <w:pPr>
              <w:ind w:left="540"/>
              <w:spacing w:after="0"/>
              <w:rPr>
                <w:sz w:val="20"/>
                <w:szCs w:val="20"/>
                <w:color w:val="auto"/>
              </w:rPr>
            </w:pPr>
            <w:r>
              <w:rPr>
                <w:rFonts w:ascii="Arial" w:cs="Arial" w:eastAsia="Arial" w:hAnsi="Arial"/>
                <w:sz w:val="18"/>
                <w:szCs w:val="18"/>
                <w:color w:val="auto"/>
              </w:rPr>
              <w:t>Construction</w:t>
            </w:r>
          </w:p>
        </w:tc>
        <w:tc>
          <w:tcPr>
            <w:tcW w:w="1900" w:type="dxa"/>
            <w:vAlign w:val="bottom"/>
            <w:shd w:val="clear" w:color="auto" w:fill="C0C0C0"/>
          </w:tcPr>
          <w:p>
            <w:pPr>
              <w:spacing w:after="0"/>
              <w:rPr>
                <w:sz w:val="21"/>
                <w:szCs w:val="21"/>
                <w:color w:val="auto"/>
              </w:rPr>
            </w:pPr>
          </w:p>
        </w:tc>
        <w:tc>
          <w:tcPr>
            <w:tcW w:w="920" w:type="dxa"/>
            <w:vAlign w:val="bottom"/>
            <w:shd w:val="clear" w:color="auto" w:fill="C0C0C0"/>
          </w:tcPr>
          <w:p>
            <w:pPr>
              <w:spacing w:after="0"/>
              <w:rPr>
                <w:sz w:val="21"/>
                <w:szCs w:val="21"/>
                <w:color w:val="auto"/>
              </w:rPr>
            </w:pPr>
          </w:p>
        </w:tc>
        <w:tc>
          <w:tcPr>
            <w:tcW w:w="44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42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520" w:type="dxa"/>
            <w:vAlign w:val="bottom"/>
            <w:shd w:val="clear" w:color="auto" w:fill="C0C0C0"/>
          </w:tcPr>
          <w:p>
            <w:pPr>
              <w:spacing w:after="0"/>
              <w:rPr>
                <w:sz w:val="21"/>
                <w:szCs w:val="21"/>
                <w:color w:val="auto"/>
              </w:rPr>
            </w:pPr>
          </w:p>
        </w:tc>
        <w:tc>
          <w:tcPr>
            <w:tcW w:w="880" w:type="dxa"/>
            <w:vAlign w:val="bottom"/>
            <w:gridSpan w:val="2"/>
            <w:shd w:val="clear" w:color="auto" w:fill="C0C0C0"/>
          </w:tcPr>
          <w:p>
            <w:pPr>
              <w:jc w:val="right"/>
              <w:ind w:right="152"/>
              <w:spacing w:after="0"/>
              <w:rPr>
                <w:sz w:val="20"/>
                <w:szCs w:val="20"/>
                <w:color w:val="auto"/>
              </w:rPr>
            </w:pPr>
            <w:r>
              <w:rPr>
                <w:rFonts w:ascii="Arial" w:cs="Arial" w:eastAsia="Arial" w:hAnsi="Arial"/>
                <w:sz w:val="18"/>
                <w:szCs w:val="18"/>
                <w:color w:val="auto"/>
              </w:rPr>
              <w:t>8,482</w:t>
            </w:r>
          </w:p>
        </w:tc>
        <w:tc>
          <w:tcPr>
            <w:tcW w:w="360" w:type="dxa"/>
            <w:vAlign w:val="bottom"/>
            <w:shd w:val="clear" w:color="auto" w:fill="C0C0C0"/>
          </w:tcPr>
          <w:p>
            <w:pPr>
              <w:spacing w:after="0"/>
              <w:rPr>
                <w:sz w:val="21"/>
                <w:szCs w:val="21"/>
                <w:color w:val="auto"/>
              </w:rPr>
            </w:pP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6,325</w:t>
            </w:r>
          </w:p>
        </w:tc>
        <w:tc>
          <w:tcPr>
            <w:tcW w:w="20" w:type="dxa"/>
            <w:vAlign w:val="bottom"/>
          </w:tcPr>
          <w:p>
            <w:pPr>
              <w:spacing w:after="0"/>
              <w:rPr>
                <w:sz w:val="21"/>
                <w:szCs w:val="21"/>
                <w:color w:val="auto"/>
              </w:rPr>
            </w:pPr>
          </w:p>
        </w:tc>
      </w:tr>
      <w:tr>
        <w:trPr>
          <w:trHeight w:val="235"/>
        </w:trPr>
        <w:tc>
          <w:tcPr>
            <w:tcW w:w="4340" w:type="dxa"/>
            <w:vAlign w:val="bottom"/>
          </w:tcPr>
          <w:p>
            <w:pPr>
              <w:ind w:left="280"/>
              <w:spacing w:after="0"/>
              <w:rPr>
                <w:sz w:val="20"/>
                <w:szCs w:val="20"/>
                <w:color w:val="auto"/>
              </w:rPr>
            </w:pPr>
            <w:r>
              <w:rPr>
                <w:rFonts w:ascii="Arial" w:cs="Arial" w:eastAsia="Arial" w:hAnsi="Arial"/>
                <w:sz w:val="18"/>
                <w:szCs w:val="18"/>
                <w:color w:val="auto"/>
              </w:rPr>
              <w:t>Church, church-related:</w:t>
            </w:r>
          </w:p>
        </w:tc>
        <w:tc>
          <w:tcPr>
            <w:tcW w:w="1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1"/>
        </w:trPr>
        <w:tc>
          <w:tcPr>
            <w:tcW w:w="4340" w:type="dxa"/>
            <w:vAlign w:val="bottom"/>
            <w:shd w:val="clear" w:color="auto" w:fill="C0C0C0"/>
          </w:tcPr>
          <w:p>
            <w:pPr>
              <w:ind w:left="540"/>
              <w:spacing w:after="0"/>
              <w:rPr>
                <w:sz w:val="20"/>
                <w:szCs w:val="20"/>
                <w:color w:val="auto"/>
              </w:rPr>
            </w:pPr>
            <w:r>
              <w:rPr>
                <w:rFonts w:ascii="Arial" w:cs="Arial" w:eastAsia="Arial" w:hAnsi="Arial"/>
                <w:sz w:val="18"/>
                <w:szCs w:val="18"/>
                <w:color w:val="auto"/>
              </w:rPr>
              <w:t>Mortgage</w:t>
            </w:r>
          </w:p>
        </w:tc>
        <w:tc>
          <w:tcPr>
            <w:tcW w:w="1900" w:type="dxa"/>
            <w:vAlign w:val="bottom"/>
            <w:shd w:val="clear" w:color="auto" w:fill="C0C0C0"/>
          </w:tcPr>
          <w:p>
            <w:pPr>
              <w:spacing w:after="0"/>
              <w:rPr>
                <w:sz w:val="21"/>
                <w:szCs w:val="21"/>
                <w:color w:val="auto"/>
              </w:rPr>
            </w:pPr>
          </w:p>
        </w:tc>
        <w:tc>
          <w:tcPr>
            <w:tcW w:w="920" w:type="dxa"/>
            <w:vAlign w:val="bottom"/>
            <w:shd w:val="clear" w:color="auto" w:fill="C0C0C0"/>
          </w:tcPr>
          <w:p>
            <w:pPr>
              <w:spacing w:after="0"/>
              <w:rPr>
                <w:sz w:val="21"/>
                <w:szCs w:val="21"/>
                <w:color w:val="auto"/>
              </w:rPr>
            </w:pPr>
          </w:p>
        </w:tc>
        <w:tc>
          <w:tcPr>
            <w:tcW w:w="44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42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520" w:type="dxa"/>
            <w:vAlign w:val="bottom"/>
            <w:shd w:val="clear" w:color="auto" w:fill="C0C0C0"/>
          </w:tcPr>
          <w:p>
            <w:pPr>
              <w:spacing w:after="0"/>
              <w:rPr>
                <w:sz w:val="21"/>
                <w:szCs w:val="21"/>
                <w:color w:val="auto"/>
              </w:rPr>
            </w:pPr>
          </w:p>
        </w:tc>
        <w:tc>
          <w:tcPr>
            <w:tcW w:w="880" w:type="dxa"/>
            <w:vAlign w:val="bottom"/>
            <w:gridSpan w:val="2"/>
            <w:shd w:val="clear" w:color="auto" w:fill="C0C0C0"/>
          </w:tcPr>
          <w:p>
            <w:pPr>
              <w:jc w:val="right"/>
              <w:ind w:right="152"/>
              <w:spacing w:after="0"/>
              <w:rPr>
                <w:sz w:val="20"/>
                <w:szCs w:val="20"/>
                <w:color w:val="auto"/>
              </w:rPr>
            </w:pPr>
            <w:r>
              <w:rPr>
                <w:rFonts w:ascii="Arial" w:cs="Arial" w:eastAsia="Arial" w:hAnsi="Arial"/>
                <w:sz w:val="18"/>
                <w:szCs w:val="18"/>
                <w:color w:val="auto"/>
                <w:w w:val="95"/>
              </w:rPr>
              <w:t>325,906</w:t>
            </w:r>
          </w:p>
        </w:tc>
        <w:tc>
          <w:tcPr>
            <w:tcW w:w="360" w:type="dxa"/>
            <w:vAlign w:val="bottom"/>
            <w:shd w:val="clear" w:color="auto" w:fill="C0C0C0"/>
          </w:tcPr>
          <w:p>
            <w:pPr>
              <w:spacing w:after="0"/>
              <w:rPr>
                <w:sz w:val="21"/>
                <w:szCs w:val="21"/>
                <w:color w:val="auto"/>
              </w:rPr>
            </w:pP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321,168</w:t>
            </w:r>
          </w:p>
        </w:tc>
        <w:tc>
          <w:tcPr>
            <w:tcW w:w="20" w:type="dxa"/>
            <w:vAlign w:val="bottom"/>
          </w:tcPr>
          <w:p>
            <w:pPr>
              <w:spacing w:after="0"/>
              <w:rPr>
                <w:sz w:val="21"/>
                <w:szCs w:val="21"/>
                <w:color w:val="auto"/>
              </w:rPr>
            </w:pPr>
          </w:p>
        </w:tc>
      </w:tr>
      <w:tr>
        <w:trPr>
          <w:trHeight w:val="235"/>
        </w:trPr>
        <w:tc>
          <w:tcPr>
            <w:tcW w:w="4340" w:type="dxa"/>
            <w:vAlign w:val="bottom"/>
          </w:tcPr>
          <w:p>
            <w:pPr>
              <w:ind w:left="540"/>
              <w:spacing w:after="0"/>
              <w:rPr>
                <w:sz w:val="20"/>
                <w:szCs w:val="20"/>
                <w:color w:val="auto"/>
              </w:rPr>
            </w:pPr>
            <w:r>
              <w:rPr>
                <w:rFonts w:ascii="Arial" w:cs="Arial" w:eastAsia="Arial" w:hAnsi="Arial"/>
                <w:sz w:val="18"/>
                <w:szCs w:val="18"/>
                <w:color w:val="auto"/>
              </w:rPr>
              <w:t>Construction</w:t>
            </w:r>
          </w:p>
        </w:tc>
        <w:tc>
          <w:tcPr>
            <w:tcW w:w="1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gridSpan w:val="2"/>
          </w:tcPr>
          <w:p>
            <w:pPr>
              <w:jc w:val="right"/>
              <w:ind w:right="152"/>
              <w:spacing w:after="0"/>
              <w:rPr>
                <w:sz w:val="20"/>
                <w:szCs w:val="20"/>
                <w:color w:val="auto"/>
              </w:rPr>
            </w:pPr>
            <w:r>
              <w:rPr>
                <w:rFonts w:ascii="Arial" w:cs="Arial" w:eastAsia="Arial" w:hAnsi="Arial"/>
                <w:sz w:val="18"/>
                <w:szCs w:val="18"/>
                <w:color w:val="auto"/>
              </w:rPr>
              <w:t>12,214</w:t>
            </w:r>
          </w:p>
        </w:tc>
        <w:tc>
          <w:tcPr>
            <w:tcW w:w="36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11,152</w:t>
            </w:r>
          </w:p>
        </w:tc>
      </w:tr>
      <w:tr>
        <w:trPr>
          <w:trHeight w:val="251"/>
        </w:trPr>
        <w:tc>
          <w:tcPr>
            <w:tcW w:w="4340" w:type="dxa"/>
            <w:vAlign w:val="bottom"/>
            <w:shd w:val="clear" w:color="auto" w:fill="C0C0C0"/>
          </w:tcPr>
          <w:p>
            <w:pPr>
              <w:spacing w:after="0"/>
              <w:rPr>
                <w:sz w:val="20"/>
                <w:szCs w:val="20"/>
                <w:color w:val="auto"/>
              </w:rPr>
            </w:pPr>
            <w:r>
              <w:rPr>
                <w:rFonts w:ascii="Arial" w:cs="Arial" w:eastAsia="Arial" w:hAnsi="Arial"/>
                <w:sz w:val="18"/>
                <w:szCs w:val="18"/>
                <w:color w:val="auto"/>
              </w:rPr>
              <w:t>Industrial revenue bonds</w:t>
            </w:r>
          </w:p>
        </w:tc>
        <w:tc>
          <w:tcPr>
            <w:tcW w:w="1900" w:type="dxa"/>
            <w:vAlign w:val="bottom"/>
            <w:shd w:val="clear" w:color="auto" w:fill="C0C0C0"/>
          </w:tcPr>
          <w:p>
            <w:pPr>
              <w:spacing w:after="0"/>
              <w:rPr>
                <w:sz w:val="21"/>
                <w:szCs w:val="21"/>
                <w:color w:val="auto"/>
              </w:rPr>
            </w:pPr>
          </w:p>
        </w:tc>
        <w:tc>
          <w:tcPr>
            <w:tcW w:w="920" w:type="dxa"/>
            <w:vAlign w:val="bottom"/>
            <w:shd w:val="clear" w:color="auto" w:fill="C0C0C0"/>
          </w:tcPr>
          <w:p>
            <w:pPr>
              <w:spacing w:after="0"/>
              <w:rPr>
                <w:sz w:val="21"/>
                <w:szCs w:val="21"/>
                <w:color w:val="auto"/>
              </w:rPr>
            </w:pPr>
          </w:p>
        </w:tc>
        <w:tc>
          <w:tcPr>
            <w:tcW w:w="44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42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520" w:type="dxa"/>
            <w:vAlign w:val="bottom"/>
            <w:shd w:val="clear" w:color="auto" w:fill="C0C0C0"/>
          </w:tcPr>
          <w:p>
            <w:pPr>
              <w:spacing w:after="0"/>
              <w:rPr>
                <w:sz w:val="21"/>
                <w:szCs w:val="21"/>
                <w:color w:val="auto"/>
              </w:rPr>
            </w:pPr>
          </w:p>
        </w:tc>
        <w:tc>
          <w:tcPr>
            <w:tcW w:w="880" w:type="dxa"/>
            <w:vAlign w:val="bottom"/>
            <w:gridSpan w:val="2"/>
            <w:shd w:val="clear" w:color="auto" w:fill="C0C0C0"/>
          </w:tcPr>
          <w:p>
            <w:pPr>
              <w:jc w:val="right"/>
              <w:ind w:right="152"/>
              <w:spacing w:after="0"/>
              <w:rPr>
                <w:sz w:val="20"/>
                <w:szCs w:val="20"/>
                <w:color w:val="auto"/>
              </w:rPr>
            </w:pPr>
            <w:r>
              <w:rPr>
                <w:rFonts w:ascii="Arial" w:cs="Arial" w:eastAsia="Arial" w:hAnsi="Arial"/>
                <w:sz w:val="18"/>
                <w:szCs w:val="18"/>
                <w:color w:val="auto"/>
              </w:rPr>
              <w:t>5,007</w:t>
            </w:r>
          </w:p>
        </w:tc>
        <w:tc>
          <w:tcPr>
            <w:tcW w:w="360" w:type="dxa"/>
            <w:vAlign w:val="bottom"/>
            <w:shd w:val="clear" w:color="auto" w:fill="C0C0C0"/>
          </w:tcPr>
          <w:p>
            <w:pPr>
              <w:spacing w:after="0"/>
              <w:rPr>
                <w:sz w:val="21"/>
                <w:szCs w:val="21"/>
                <w:color w:val="auto"/>
              </w:rPr>
            </w:pP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6,639</w:t>
            </w:r>
          </w:p>
        </w:tc>
        <w:tc>
          <w:tcPr>
            <w:tcW w:w="20" w:type="dxa"/>
            <w:vAlign w:val="bottom"/>
          </w:tcPr>
          <w:p>
            <w:pPr>
              <w:spacing w:after="0"/>
              <w:rPr>
                <w:sz w:val="21"/>
                <w:szCs w:val="21"/>
                <w:color w:val="auto"/>
              </w:rPr>
            </w:pPr>
          </w:p>
        </w:tc>
      </w:tr>
      <w:tr>
        <w:trPr>
          <w:trHeight w:val="237"/>
        </w:trPr>
        <w:tc>
          <w:tcPr>
            <w:tcW w:w="4340" w:type="dxa"/>
            <w:vAlign w:val="bottom"/>
          </w:tcPr>
          <w:p>
            <w:pPr>
              <w:spacing w:after="0"/>
              <w:rPr>
                <w:sz w:val="20"/>
                <w:szCs w:val="20"/>
                <w:color w:val="auto"/>
              </w:rPr>
            </w:pPr>
            <w:r>
              <w:rPr>
                <w:rFonts w:ascii="Arial" w:cs="Arial" w:eastAsia="Arial" w:hAnsi="Arial"/>
                <w:sz w:val="18"/>
                <w:szCs w:val="18"/>
                <w:color w:val="auto"/>
              </w:rPr>
              <w:t>Other</w:t>
            </w:r>
          </w:p>
        </w:tc>
        <w:tc>
          <w:tcPr>
            <w:tcW w:w="1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jc w:val="right"/>
              <w:ind w:right="152"/>
              <w:spacing w:after="0"/>
              <w:rPr>
                <w:sz w:val="20"/>
                <w:szCs w:val="20"/>
                <w:color w:val="auto"/>
              </w:rPr>
            </w:pPr>
            <w:r>
              <w:rPr>
                <w:rFonts w:ascii="Arial" w:cs="Arial" w:eastAsia="Arial" w:hAnsi="Arial"/>
                <w:sz w:val="18"/>
                <w:szCs w:val="18"/>
                <w:color w:val="auto"/>
              </w:rPr>
              <w:t>80</w:t>
            </w:r>
          </w:p>
        </w:tc>
        <w:tc>
          <w:tcPr>
            <w:tcW w:w="36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r>
      <w:tr>
        <w:trPr>
          <w:trHeight w:val="237"/>
        </w:trPr>
        <w:tc>
          <w:tcPr>
            <w:tcW w:w="4340" w:type="dxa"/>
            <w:vAlign w:val="bottom"/>
            <w:tcBorders>
              <w:top w:val="single" w:sz="8" w:color="auto"/>
              <w:bottom w:val="single" w:sz="8" w:color="auto"/>
            </w:tcBorders>
            <w:shd w:val="clear" w:color="auto" w:fill="C0C0C0"/>
          </w:tcPr>
          <w:p>
            <w:pPr>
              <w:ind w:left="540"/>
              <w:spacing w:after="0"/>
              <w:rPr>
                <w:sz w:val="20"/>
                <w:szCs w:val="20"/>
                <w:color w:val="auto"/>
              </w:rPr>
            </w:pPr>
            <w:r>
              <w:rPr>
                <w:rFonts w:ascii="Arial" w:cs="Arial" w:eastAsia="Arial" w:hAnsi="Arial"/>
                <w:sz w:val="18"/>
                <w:szCs w:val="18"/>
                <w:color w:val="auto"/>
              </w:rPr>
              <w:t>Total loans</w:t>
            </w:r>
          </w:p>
        </w:tc>
        <w:tc>
          <w:tcPr>
            <w:tcW w:w="1900" w:type="dxa"/>
            <w:vAlign w:val="bottom"/>
            <w:tcBorders>
              <w:top w:val="single" w:sz="8" w:color="auto"/>
              <w:bottom w:val="single" w:sz="8" w:color="auto"/>
            </w:tcBorders>
            <w:shd w:val="clear" w:color="auto" w:fill="C0C0C0"/>
          </w:tcPr>
          <w:p>
            <w:pPr>
              <w:spacing w:after="0"/>
              <w:rPr>
                <w:sz w:val="20"/>
                <w:szCs w:val="20"/>
                <w:color w:val="auto"/>
              </w:rPr>
            </w:pPr>
          </w:p>
        </w:tc>
        <w:tc>
          <w:tcPr>
            <w:tcW w:w="920" w:type="dxa"/>
            <w:vAlign w:val="bottom"/>
            <w:tcBorders>
              <w:top w:val="single" w:sz="8" w:color="auto"/>
              <w:bottom w:val="single" w:sz="8" w:color="auto"/>
            </w:tcBorders>
            <w:shd w:val="clear" w:color="auto" w:fill="C0C0C0"/>
          </w:tcPr>
          <w:p>
            <w:pPr>
              <w:spacing w:after="0"/>
              <w:rPr>
                <w:sz w:val="20"/>
                <w:szCs w:val="20"/>
                <w:color w:val="auto"/>
              </w:rPr>
            </w:pPr>
          </w:p>
        </w:tc>
        <w:tc>
          <w:tcPr>
            <w:tcW w:w="440" w:type="dxa"/>
            <w:vAlign w:val="bottom"/>
            <w:tcBorders>
              <w:top w:val="single" w:sz="8" w:color="auto"/>
              <w:bottom w:val="single" w:sz="8" w:color="auto"/>
            </w:tcBorders>
            <w:shd w:val="clear" w:color="auto" w:fill="C0C0C0"/>
          </w:tcPr>
          <w:p>
            <w:pPr>
              <w:spacing w:after="0"/>
              <w:rPr>
                <w:sz w:val="20"/>
                <w:szCs w:val="20"/>
                <w:color w:val="auto"/>
              </w:rPr>
            </w:pPr>
          </w:p>
        </w:tc>
        <w:tc>
          <w:tcPr>
            <w:tcW w:w="300" w:type="dxa"/>
            <w:vAlign w:val="bottom"/>
            <w:tcBorders>
              <w:top w:val="single" w:sz="8" w:color="auto"/>
              <w:bottom w:val="single" w:sz="8" w:color="auto"/>
            </w:tcBorders>
            <w:shd w:val="clear" w:color="auto" w:fill="C0C0C0"/>
          </w:tcPr>
          <w:p>
            <w:pPr>
              <w:spacing w:after="0"/>
              <w:rPr>
                <w:sz w:val="20"/>
                <w:szCs w:val="20"/>
                <w:color w:val="auto"/>
              </w:rPr>
            </w:pPr>
          </w:p>
        </w:tc>
        <w:tc>
          <w:tcPr>
            <w:tcW w:w="340" w:type="dxa"/>
            <w:vAlign w:val="bottom"/>
            <w:tcBorders>
              <w:top w:val="single" w:sz="8" w:color="auto"/>
              <w:bottom w:val="single" w:sz="8" w:color="auto"/>
            </w:tcBorders>
            <w:shd w:val="clear" w:color="auto" w:fill="C0C0C0"/>
          </w:tcPr>
          <w:p>
            <w:pPr>
              <w:spacing w:after="0"/>
              <w:rPr>
                <w:sz w:val="20"/>
                <w:szCs w:val="20"/>
                <w:color w:val="auto"/>
              </w:rPr>
            </w:pPr>
          </w:p>
        </w:tc>
        <w:tc>
          <w:tcPr>
            <w:tcW w:w="420" w:type="dxa"/>
            <w:vAlign w:val="bottom"/>
            <w:tcBorders>
              <w:top w:val="single" w:sz="8" w:color="auto"/>
              <w:bottom w:val="single" w:sz="8" w:color="auto"/>
            </w:tcBorders>
            <w:shd w:val="clear" w:color="auto" w:fill="C0C0C0"/>
          </w:tcPr>
          <w:p>
            <w:pPr>
              <w:spacing w:after="0"/>
              <w:rPr>
                <w:sz w:val="20"/>
                <w:szCs w:val="20"/>
                <w:color w:val="auto"/>
              </w:rPr>
            </w:pPr>
          </w:p>
        </w:tc>
        <w:tc>
          <w:tcPr>
            <w:tcW w:w="240" w:type="dxa"/>
            <w:vAlign w:val="bottom"/>
            <w:tcBorders>
              <w:top w:val="single" w:sz="8" w:color="auto"/>
              <w:bottom w:val="single" w:sz="8" w:color="auto"/>
            </w:tcBorders>
            <w:shd w:val="clear" w:color="auto" w:fill="C0C0C0"/>
          </w:tcPr>
          <w:p>
            <w:pPr>
              <w:spacing w:after="0"/>
              <w:rPr>
                <w:sz w:val="20"/>
                <w:szCs w:val="20"/>
                <w:color w:val="auto"/>
              </w:rPr>
            </w:pPr>
          </w:p>
        </w:tc>
        <w:tc>
          <w:tcPr>
            <w:tcW w:w="520" w:type="dxa"/>
            <w:vAlign w:val="bottom"/>
            <w:tcBorders>
              <w:top w:val="single" w:sz="8" w:color="auto"/>
              <w:bottom w:val="single" w:sz="8" w:color="auto"/>
            </w:tcBorders>
            <w:shd w:val="clear" w:color="auto" w:fill="C0C0C0"/>
          </w:tcPr>
          <w:p>
            <w:pPr>
              <w:ind w:left="26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gridSpan w:val="2"/>
            <w:shd w:val="clear" w:color="auto" w:fill="C0C0C0"/>
          </w:tcPr>
          <w:p>
            <w:pPr>
              <w:jc w:val="right"/>
              <w:ind w:right="152"/>
              <w:spacing w:after="0"/>
              <w:rPr>
                <w:sz w:val="20"/>
                <w:szCs w:val="20"/>
                <w:color w:val="auto"/>
              </w:rPr>
            </w:pPr>
            <w:r>
              <w:rPr>
                <w:rFonts w:ascii="Arial" w:cs="Arial" w:eastAsia="Arial" w:hAnsi="Arial"/>
                <w:sz w:val="18"/>
                <w:szCs w:val="18"/>
                <w:color w:val="auto"/>
                <w:w w:val="95"/>
              </w:rPr>
              <w:t>671,683</w:t>
            </w:r>
          </w:p>
        </w:tc>
        <w:tc>
          <w:tcPr>
            <w:tcW w:w="360" w:type="dxa"/>
            <w:vAlign w:val="bottom"/>
            <w:tcBorders>
              <w:top w:val="single" w:sz="8" w:color="auto"/>
              <w:bottom w:val="single" w:sz="8" w:color="auto"/>
            </w:tcBorders>
            <w:shd w:val="clear" w:color="auto" w:fill="C0C0C0"/>
          </w:tcPr>
          <w:p>
            <w:pPr>
              <w:jc w:val="right"/>
              <w:ind w:right="152"/>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664,866</w:t>
            </w:r>
          </w:p>
        </w:tc>
        <w:tc>
          <w:tcPr>
            <w:tcW w:w="20" w:type="dxa"/>
            <w:vAlign w:val="bottom"/>
          </w:tcPr>
          <w:p>
            <w:pPr>
              <w:spacing w:after="0"/>
              <w:rPr>
                <w:sz w:val="20"/>
                <w:szCs w:val="20"/>
                <w:color w:val="auto"/>
              </w:rPr>
            </w:pPr>
          </w:p>
        </w:tc>
      </w:tr>
      <w:tr>
        <w:trPr>
          <w:trHeight w:val="430"/>
        </w:trPr>
        <w:tc>
          <w:tcPr>
            <w:tcW w:w="7600" w:type="dxa"/>
            <w:vAlign w:val="bottom"/>
            <w:gridSpan w:val="4"/>
          </w:tcPr>
          <w:p>
            <w:pPr>
              <w:spacing w:after="0"/>
              <w:rPr>
                <w:sz w:val="20"/>
                <w:szCs w:val="20"/>
                <w:color w:val="auto"/>
              </w:rPr>
            </w:pPr>
            <w:r>
              <w:rPr>
                <w:rFonts w:ascii="Arial" w:cs="Arial" w:eastAsia="Arial" w:hAnsi="Arial"/>
                <w:sz w:val="18"/>
                <w:szCs w:val="18"/>
                <w:color w:val="auto"/>
                <w:w w:val="87"/>
              </w:rPr>
              <w:t>The following table presents the aging of loans by loan categories at June 30, 2017 and December 31, 2016:</w:t>
            </w: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46"/>
        </w:trPr>
        <w:tc>
          <w:tcPr>
            <w:tcW w:w="43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660" w:type="dxa"/>
            <w:vAlign w:val="bottom"/>
            <w:gridSpan w:val="3"/>
          </w:tcPr>
          <w:p>
            <w:pPr>
              <w:jc w:val="center"/>
              <w:ind w:left="432"/>
              <w:spacing w:after="0"/>
              <w:rPr>
                <w:sz w:val="20"/>
                <w:szCs w:val="20"/>
                <w:color w:val="auto"/>
              </w:rPr>
            </w:pPr>
            <w:r>
              <w:rPr>
                <w:rFonts w:ascii="Arial" w:cs="Arial" w:eastAsia="Arial" w:hAnsi="Arial"/>
                <w:sz w:val="18"/>
                <w:szCs w:val="18"/>
                <w:b w:val="1"/>
                <w:bCs w:val="1"/>
                <w:color w:val="auto"/>
                <w:w w:val="89"/>
              </w:rPr>
              <w:t>Performing</w:t>
            </w: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gridSpan w:val="3"/>
          </w:tcPr>
          <w:p>
            <w:pPr>
              <w:ind w:left="40"/>
              <w:spacing w:after="0"/>
              <w:rPr>
                <w:sz w:val="20"/>
                <w:szCs w:val="20"/>
                <w:color w:val="auto"/>
              </w:rPr>
            </w:pPr>
            <w:r>
              <w:rPr>
                <w:rFonts w:ascii="Arial" w:cs="Arial" w:eastAsia="Arial" w:hAnsi="Arial"/>
                <w:sz w:val="18"/>
                <w:szCs w:val="18"/>
                <w:b w:val="1"/>
                <w:bCs w:val="1"/>
                <w:color w:val="auto"/>
              </w:rPr>
              <w:t>Nonperforming</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3"/>
        </w:trPr>
        <w:tc>
          <w:tcPr>
            <w:tcW w:w="434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gridSpan w:val="2"/>
          </w:tcPr>
          <w:p>
            <w:pPr>
              <w:ind w:left="140"/>
              <w:spacing w:after="0"/>
              <w:rPr>
                <w:sz w:val="20"/>
                <w:szCs w:val="20"/>
                <w:color w:val="auto"/>
              </w:rPr>
            </w:pPr>
            <w:r>
              <w:rPr>
                <w:rFonts w:ascii="Arial" w:cs="Arial" w:eastAsia="Arial" w:hAnsi="Arial"/>
                <w:sz w:val="18"/>
                <w:szCs w:val="18"/>
                <w:b w:val="1"/>
                <w:bCs w:val="1"/>
                <w:color w:val="auto"/>
                <w:w w:val="88"/>
              </w:rPr>
              <w:t>90 Days</w:t>
            </w: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434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40" w:type="dxa"/>
            <w:vAlign w:val="bottom"/>
            <w:gridSpan w:val="2"/>
          </w:tcPr>
          <w:p>
            <w:pPr>
              <w:ind w:left="160"/>
              <w:spacing w:after="0"/>
              <w:rPr>
                <w:sz w:val="20"/>
                <w:szCs w:val="20"/>
                <w:color w:val="auto"/>
              </w:rPr>
            </w:pPr>
            <w:r>
              <w:rPr>
                <w:rFonts w:ascii="Arial" w:cs="Arial" w:eastAsia="Arial" w:hAnsi="Arial"/>
                <w:sz w:val="18"/>
                <w:szCs w:val="18"/>
                <w:b w:val="1"/>
                <w:bCs w:val="1"/>
                <w:color w:val="auto"/>
              </w:rPr>
              <w:t>30-59</w:t>
            </w:r>
          </w:p>
        </w:tc>
        <w:tc>
          <w:tcPr>
            <w:tcW w:w="760" w:type="dxa"/>
            <w:vAlign w:val="bottom"/>
            <w:gridSpan w:val="2"/>
          </w:tcPr>
          <w:p>
            <w:pPr>
              <w:ind w:left="180"/>
              <w:spacing w:after="0"/>
              <w:rPr>
                <w:sz w:val="20"/>
                <w:szCs w:val="20"/>
                <w:color w:val="auto"/>
              </w:rPr>
            </w:pPr>
            <w:r>
              <w:rPr>
                <w:rFonts w:ascii="Arial" w:cs="Arial" w:eastAsia="Arial" w:hAnsi="Arial"/>
                <w:sz w:val="18"/>
                <w:szCs w:val="18"/>
                <w:b w:val="1"/>
                <w:bCs w:val="1"/>
                <w:color w:val="auto"/>
              </w:rPr>
              <w:t>60-89</w:t>
            </w:r>
          </w:p>
        </w:tc>
        <w:tc>
          <w:tcPr>
            <w:tcW w:w="240" w:type="dxa"/>
            <w:vAlign w:val="bottom"/>
          </w:tcPr>
          <w:p>
            <w:pPr>
              <w:spacing w:after="0"/>
              <w:rPr>
                <w:sz w:val="21"/>
                <w:szCs w:val="21"/>
                <w:color w:val="auto"/>
              </w:rPr>
            </w:pPr>
          </w:p>
        </w:tc>
        <w:tc>
          <w:tcPr>
            <w:tcW w:w="520" w:type="dxa"/>
            <w:vAlign w:val="bottom"/>
          </w:tcPr>
          <w:p>
            <w:pPr>
              <w:ind w:left="60"/>
              <w:spacing w:after="0"/>
              <w:rPr>
                <w:sz w:val="20"/>
                <w:szCs w:val="20"/>
                <w:color w:val="auto"/>
              </w:rPr>
            </w:pPr>
            <w:r>
              <w:rPr>
                <w:rFonts w:ascii="Arial" w:cs="Arial" w:eastAsia="Arial" w:hAnsi="Arial"/>
                <w:sz w:val="18"/>
                <w:szCs w:val="18"/>
                <w:b w:val="1"/>
                <w:bCs w:val="1"/>
                <w:color w:val="auto"/>
              </w:rPr>
              <w:t>and</w:t>
            </w:r>
          </w:p>
        </w:tc>
        <w:tc>
          <w:tcPr>
            <w:tcW w:w="360" w:type="dxa"/>
            <w:vAlign w:val="bottom"/>
          </w:tcPr>
          <w:p>
            <w:pPr>
              <w:spacing w:after="0"/>
              <w:rPr>
                <w:sz w:val="21"/>
                <w:szCs w:val="21"/>
                <w:color w:val="auto"/>
              </w:rPr>
            </w:pPr>
          </w:p>
        </w:tc>
        <w:tc>
          <w:tcPr>
            <w:tcW w:w="520" w:type="dxa"/>
            <w:vAlign w:val="bottom"/>
          </w:tcPr>
          <w:p>
            <w:pPr>
              <w:jc w:val="right"/>
              <w:ind w:right="52"/>
              <w:spacing w:after="0"/>
              <w:rPr>
                <w:sz w:val="20"/>
                <w:szCs w:val="20"/>
                <w:color w:val="auto"/>
              </w:rPr>
            </w:pPr>
            <w:r>
              <w:rPr>
                <w:rFonts w:ascii="Arial" w:cs="Arial" w:eastAsia="Arial" w:hAnsi="Arial"/>
                <w:sz w:val="18"/>
                <w:szCs w:val="18"/>
                <w:b w:val="1"/>
                <w:bCs w:val="1"/>
                <w:color w:val="auto"/>
                <w:w w:val="87"/>
              </w:rPr>
              <w:t>Non-</w:t>
            </w:r>
          </w:p>
        </w:tc>
        <w:tc>
          <w:tcPr>
            <w:tcW w:w="360" w:type="dxa"/>
            <w:vAlign w:val="bottom"/>
          </w:tcPr>
          <w:p>
            <w:pPr>
              <w:spacing w:after="0"/>
              <w:rPr>
                <w:sz w:val="21"/>
                <w:szCs w:val="21"/>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Total</w:t>
            </w:r>
          </w:p>
        </w:tc>
      </w:tr>
      <w:tr>
        <w:trPr>
          <w:trHeight w:val="252"/>
        </w:trPr>
        <w:tc>
          <w:tcPr>
            <w:tcW w:w="4340" w:type="dxa"/>
            <w:vAlign w:val="bottom"/>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900" w:type="dxa"/>
            <w:vAlign w:val="bottom"/>
          </w:tcPr>
          <w:p>
            <w:pPr>
              <w:spacing w:after="0"/>
              <w:rPr>
                <w:sz w:val="21"/>
                <w:szCs w:val="21"/>
                <w:color w:val="auto"/>
              </w:rPr>
            </w:pPr>
          </w:p>
        </w:tc>
        <w:tc>
          <w:tcPr>
            <w:tcW w:w="920" w:type="dxa"/>
            <w:vAlign w:val="bottom"/>
          </w:tcPr>
          <w:p>
            <w:pPr>
              <w:jc w:val="right"/>
              <w:ind w:right="192"/>
              <w:spacing w:after="0"/>
              <w:rPr>
                <w:sz w:val="20"/>
                <w:szCs w:val="20"/>
                <w:color w:val="auto"/>
              </w:rPr>
            </w:pPr>
            <w:r>
              <w:rPr>
                <w:rFonts w:ascii="Arial" w:cs="Arial" w:eastAsia="Arial" w:hAnsi="Arial"/>
                <w:sz w:val="18"/>
                <w:szCs w:val="18"/>
                <w:b w:val="1"/>
                <w:bCs w:val="1"/>
                <w:color w:val="auto"/>
                <w:w w:val="95"/>
              </w:rPr>
              <w:t>Current</w:t>
            </w:r>
          </w:p>
        </w:tc>
        <w:tc>
          <w:tcPr>
            <w:tcW w:w="740" w:type="dxa"/>
            <w:vAlign w:val="bottom"/>
            <w:gridSpan w:val="2"/>
          </w:tcPr>
          <w:p>
            <w:pPr>
              <w:ind w:left="180"/>
              <w:spacing w:after="0"/>
              <w:rPr>
                <w:sz w:val="20"/>
                <w:szCs w:val="20"/>
                <w:color w:val="auto"/>
              </w:rPr>
            </w:pPr>
            <w:r>
              <w:rPr>
                <w:rFonts w:ascii="Arial" w:cs="Arial" w:eastAsia="Arial" w:hAnsi="Arial"/>
                <w:sz w:val="18"/>
                <w:szCs w:val="18"/>
                <w:b w:val="1"/>
                <w:bCs w:val="1"/>
                <w:color w:val="auto"/>
              </w:rPr>
              <w:t>Days</w:t>
            </w:r>
          </w:p>
        </w:tc>
        <w:tc>
          <w:tcPr>
            <w:tcW w:w="760" w:type="dxa"/>
            <w:vAlign w:val="bottom"/>
            <w:gridSpan w:val="2"/>
          </w:tcPr>
          <w:p>
            <w:pPr>
              <w:ind w:left="200"/>
              <w:spacing w:after="0"/>
              <w:rPr>
                <w:sz w:val="20"/>
                <w:szCs w:val="20"/>
                <w:color w:val="auto"/>
              </w:rPr>
            </w:pPr>
            <w:r>
              <w:rPr>
                <w:rFonts w:ascii="Arial" w:cs="Arial" w:eastAsia="Arial" w:hAnsi="Arial"/>
                <w:sz w:val="18"/>
                <w:szCs w:val="18"/>
                <w:b w:val="1"/>
                <w:bCs w:val="1"/>
                <w:color w:val="auto"/>
              </w:rPr>
              <w:t>Days</w:t>
            </w:r>
          </w:p>
        </w:tc>
        <w:tc>
          <w:tcPr>
            <w:tcW w:w="240" w:type="dxa"/>
            <w:vAlign w:val="bottom"/>
          </w:tcPr>
          <w:p>
            <w:pPr>
              <w:spacing w:after="0"/>
              <w:rPr>
                <w:sz w:val="21"/>
                <w:szCs w:val="21"/>
                <w:color w:val="auto"/>
              </w:rPr>
            </w:pPr>
          </w:p>
        </w:tc>
        <w:tc>
          <w:tcPr>
            <w:tcW w:w="520" w:type="dxa"/>
            <w:vAlign w:val="bottom"/>
          </w:tcPr>
          <w:p>
            <w:pPr>
              <w:ind w:left="20"/>
              <w:spacing w:after="0"/>
              <w:rPr>
                <w:sz w:val="20"/>
                <w:szCs w:val="20"/>
                <w:color w:val="auto"/>
              </w:rPr>
            </w:pPr>
            <w:r>
              <w:rPr>
                <w:rFonts w:ascii="Arial" w:cs="Arial" w:eastAsia="Arial" w:hAnsi="Arial"/>
                <w:sz w:val="18"/>
                <w:szCs w:val="18"/>
                <w:b w:val="1"/>
                <w:bCs w:val="1"/>
                <w:color w:val="auto"/>
              </w:rPr>
              <w:t>Over</w:t>
            </w: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accrual</w:t>
            </w:r>
          </w:p>
        </w:tc>
        <w:tc>
          <w:tcPr>
            <w:tcW w:w="360" w:type="dxa"/>
            <w:vAlign w:val="bottom"/>
          </w:tcPr>
          <w:p>
            <w:pPr>
              <w:spacing w:after="0"/>
              <w:rPr>
                <w:sz w:val="21"/>
                <w:szCs w:val="21"/>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8"/>
              </w:rPr>
              <w:t>Loans</w:t>
            </w:r>
          </w:p>
        </w:tc>
      </w:tr>
      <w:tr>
        <w:trPr>
          <w:trHeight w:val="243"/>
        </w:trPr>
        <w:tc>
          <w:tcPr>
            <w:tcW w:w="434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8"/>
                <w:szCs w:val="18"/>
                <w:i w:val="1"/>
                <w:iCs w:val="1"/>
                <w:color w:val="auto"/>
              </w:rPr>
              <w:t>June 30, 2017</w:t>
            </w:r>
          </w:p>
        </w:tc>
        <w:tc>
          <w:tcPr>
            <w:tcW w:w="1900" w:type="dxa"/>
            <w:vAlign w:val="bottom"/>
            <w:tcBorders>
              <w:top w:val="single" w:sz="8" w:color="auto"/>
            </w:tcBorders>
            <w:shd w:val="clear" w:color="auto" w:fill="C0C0C0"/>
          </w:tcPr>
          <w:p>
            <w:pPr>
              <w:spacing w:after="0"/>
              <w:rPr>
                <w:sz w:val="21"/>
                <w:szCs w:val="21"/>
                <w:color w:val="auto"/>
              </w:rPr>
            </w:pPr>
          </w:p>
        </w:tc>
        <w:tc>
          <w:tcPr>
            <w:tcW w:w="920" w:type="dxa"/>
            <w:vAlign w:val="bottom"/>
            <w:tcBorders>
              <w:top w:val="single" w:sz="8" w:color="auto"/>
            </w:tcBorders>
            <w:shd w:val="clear" w:color="auto" w:fill="C0C0C0"/>
          </w:tcPr>
          <w:p>
            <w:pPr>
              <w:spacing w:after="0"/>
              <w:rPr>
                <w:sz w:val="21"/>
                <w:szCs w:val="21"/>
                <w:color w:val="auto"/>
              </w:rPr>
            </w:pPr>
          </w:p>
        </w:tc>
        <w:tc>
          <w:tcPr>
            <w:tcW w:w="440" w:type="dxa"/>
            <w:vAlign w:val="bottom"/>
            <w:tcBorders>
              <w:top w:val="single" w:sz="8" w:color="auto"/>
            </w:tcBorders>
            <w:shd w:val="clear" w:color="auto" w:fill="C0C0C0"/>
          </w:tcPr>
          <w:p>
            <w:pPr>
              <w:spacing w:after="0"/>
              <w:rPr>
                <w:sz w:val="21"/>
                <w:szCs w:val="21"/>
                <w:color w:val="auto"/>
              </w:rPr>
            </w:pPr>
          </w:p>
        </w:tc>
        <w:tc>
          <w:tcPr>
            <w:tcW w:w="300" w:type="dxa"/>
            <w:vAlign w:val="bottom"/>
            <w:tcBorders>
              <w:top w:val="single" w:sz="8" w:color="auto"/>
            </w:tcBorders>
            <w:shd w:val="clear" w:color="auto" w:fill="C0C0C0"/>
          </w:tcPr>
          <w:p>
            <w:pPr>
              <w:spacing w:after="0"/>
              <w:rPr>
                <w:sz w:val="21"/>
                <w:szCs w:val="21"/>
                <w:color w:val="auto"/>
              </w:rPr>
            </w:pPr>
          </w:p>
        </w:tc>
        <w:tc>
          <w:tcPr>
            <w:tcW w:w="340" w:type="dxa"/>
            <w:vAlign w:val="bottom"/>
            <w:tcBorders>
              <w:top w:val="single" w:sz="8" w:color="auto"/>
            </w:tcBorders>
            <w:shd w:val="clear" w:color="auto" w:fill="C0C0C0"/>
          </w:tcPr>
          <w:p>
            <w:pPr>
              <w:spacing w:after="0"/>
              <w:rPr>
                <w:sz w:val="21"/>
                <w:szCs w:val="21"/>
                <w:color w:val="auto"/>
              </w:rPr>
            </w:pPr>
          </w:p>
        </w:tc>
        <w:tc>
          <w:tcPr>
            <w:tcW w:w="420" w:type="dxa"/>
            <w:vAlign w:val="bottom"/>
            <w:tcBorders>
              <w:top w:val="single" w:sz="8" w:color="auto"/>
            </w:tcBorders>
            <w:shd w:val="clear" w:color="auto" w:fill="C0C0C0"/>
          </w:tcPr>
          <w:p>
            <w:pPr>
              <w:spacing w:after="0"/>
              <w:rPr>
                <w:sz w:val="21"/>
                <w:szCs w:val="21"/>
                <w:color w:val="auto"/>
              </w:rPr>
            </w:pPr>
          </w:p>
        </w:tc>
        <w:tc>
          <w:tcPr>
            <w:tcW w:w="240" w:type="dxa"/>
            <w:vAlign w:val="bottom"/>
            <w:tcBorders>
              <w:top w:val="single" w:sz="8" w:color="auto"/>
            </w:tcBorders>
            <w:shd w:val="clear" w:color="auto" w:fill="C0C0C0"/>
          </w:tcPr>
          <w:p>
            <w:pPr>
              <w:spacing w:after="0"/>
              <w:rPr>
                <w:sz w:val="21"/>
                <w:szCs w:val="21"/>
                <w:color w:val="auto"/>
              </w:rPr>
            </w:pPr>
          </w:p>
        </w:tc>
        <w:tc>
          <w:tcPr>
            <w:tcW w:w="520" w:type="dxa"/>
            <w:vAlign w:val="bottom"/>
            <w:tcBorders>
              <w:top w:val="single" w:sz="8" w:color="auto"/>
            </w:tcBorders>
            <w:shd w:val="clear" w:color="auto" w:fill="C0C0C0"/>
          </w:tcPr>
          <w:p>
            <w:pPr>
              <w:spacing w:after="0"/>
              <w:rPr>
                <w:sz w:val="21"/>
                <w:szCs w:val="21"/>
                <w:color w:val="auto"/>
              </w:rPr>
            </w:pPr>
          </w:p>
        </w:tc>
        <w:tc>
          <w:tcPr>
            <w:tcW w:w="360" w:type="dxa"/>
            <w:vAlign w:val="bottom"/>
            <w:tcBorders>
              <w:top w:val="single" w:sz="8" w:color="auto"/>
            </w:tcBorders>
            <w:shd w:val="clear" w:color="auto" w:fill="C0C0C0"/>
          </w:tcPr>
          <w:p>
            <w:pPr>
              <w:spacing w:after="0"/>
              <w:rPr>
                <w:sz w:val="21"/>
                <w:szCs w:val="21"/>
                <w:color w:val="auto"/>
              </w:rPr>
            </w:pPr>
          </w:p>
        </w:tc>
        <w:tc>
          <w:tcPr>
            <w:tcW w:w="520" w:type="dxa"/>
            <w:vAlign w:val="bottom"/>
            <w:tcBorders>
              <w:top w:val="single" w:sz="8" w:color="auto"/>
            </w:tcBorders>
            <w:shd w:val="clear" w:color="auto" w:fill="C0C0C0"/>
          </w:tcPr>
          <w:p>
            <w:pPr>
              <w:spacing w:after="0"/>
              <w:rPr>
                <w:sz w:val="21"/>
                <w:szCs w:val="21"/>
                <w:color w:val="auto"/>
              </w:rPr>
            </w:pPr>
          </w:p>
        </w:tc>
        <w:tc>
          <w:tcPr>
            <w:tcW w:w="360" w:type="dxa"/>
            <w:vAlign w:val="bottom"/>
            <w:tcBorders>
              <w:top w:val="single" w:sz="8" w:color="auto"/>
            </w:tcBorders>
            <w:shd w:val="clear" w:color="auto" w:fill="C0C0C0"/>
          </w:tcPr>
          <w:p>
            <w:pPr>
              <w:spacing w:after="0"/>
              <w:rPr>
                <w:sz w:val="21"/>
                <w:szCs w:val="21"/>
                <w:color w:val="auto"/>
              </w:rPr>
            </w:pPr>
          </w:p>
        </w:tc>
        <w:tc>
          <w:tcPr>
            <w:tcW w:w="760" w:type="dxa"/>
            <w:vAlign w:val="bottom"/>
            <w:tcBorders>
              <w:top w:val="single" w:sz="8" w:color="auto"/>
            </w:tcBorders>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4340" w:type="dxa"/>
            <w:vAlign w:val="bottom"/>
          </w:tcPr>
          <w:p>
            <w:pPr>
              <w:spacing w:after="0"/>
              <w:rPr>
                <w:sz w:val="20"/>
                <w:szCs w:val="20"/>
                <w:color w:val="auto"/>
              </w:rPr>
            </w:pPr>
            <w:r>
              <w:rPr>
                <w:rFonts w:ascii="Arial" w:cs="Arial" w:eastAsia="Arial" w:hAnsi="Arial"/>
                <w:sz w:val="18"/>
                <w:szCs w:val="18"/>
                <w:color w:val="auto"/>
              </w:rPr>
              <w:t>Commercial and industrial</w:t>
            </w:r>
          </w:p>
        </w:tc>
        <w:tc>
          <w:tcPr>
            <w:tcW w:w="19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225,627</w:t>
            </w:r>
          </w:p>
        </w:tc>
        <w:tc>
          <w:tcPr>
            <w:tcW w:w="440" w:type="dxa"/>
            <w:vAlign w:val="bottom"/>
          </w:tcPr>
          <w:p>
            <w:pPr>
              <w:jc w:val="center"/>
              <w:ind w:right="12"/>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tcPr>
          <w:p>
            <w:pPr>
              <w:ind w:left="120"/>
              <w:spacing w:after="0"/>
              <w:rPr>
                <w:sz w:val="20"/>
                <w:szCs w:val="20"/>
                <w:color w:val="auto"/>
              </w:rPr>
            </w:pPr>
            <w:r>
              <w:rPr>
                <w:rFonts w:ascii="Arial" w:cs="Arial" w:eastAsia="Arial" w:hAnsi="Arial"/>
                <w:sz w:val="18"/>
                <w:szCs w:val="18"/>
                <w:color w:val="auto"/>
              </w:rPr>
              <w:t>—</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520" w:type="dxa"/>
            <w:vAlign w:val="bottom"/>
          </w:tcPr>
          <w:p>
            <w:pPr>
              <w:ind w:left="340"/>
              <w:spacing w:after="0"/>
              <w:rPr>
                <w:sz w:val="20"/>
                <w:szCs w:val="20"/>
                <w:color w:val="auto"/>
              </w:rPr>
            </w:pPr>
            <w:r>
              <w:rPr>
                <w:rFonts w:ascii="Arial" w:cs="Arial" w:eastAsia="Arial" w:hAnsi="Arial"/>
                <w:sz w:val="18"/>
                <w:szCs w:val="18"/>
                <w:color w:val="auto"/>
                <w:w w:val="88"/>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225,627</w:t>
            </w:r>
          </w:p>
        </w:tc>
      </w:tr>
      <w:tr>
        <w:trPr>
          <w:trHeight w:val="251"/>
        </w:trPr>
        <w:tc>
          <w:tcPr>
            <w:tcW w:w="4340" w:type="dxa"/>
            <w:vAlign w:val="bottom"/>
            <w:shd w:val="clear" w:color="auto" w:fill="C0C0C0"/>
          </w:tcPr>
          <w:p>
            <w:pPr>
              <w:spacing w:after="0"/>
              <w:rPr>
                <w:sz w:val="20"/>
                <w:szCs w:val="20"/>
                <w:color w:val="auto"/>
              </w:rPr>
            </w:pPr>
            <w:r>
              <w:rPr>
                <w:rFonts w:ascii="Arial" w:cs="Arial" w:eastAsia="Arial" w:hAnsi="Arial"/>
                <w:sz w:val="18"/>
                <w:szCs w:val="18"/>
                <w:color w:val="auto"/>
              </w:rPr>
              <w:t>Real estate</w:t>
            </w:r>
          </w:p>
        </w:tc>
        <w:tc>
          <w:tcPr>
            <w:tcW w:w="1900" w:type="dxa"/>
            <w:vAlign w:val="bottom"/>
            <w:shd w:val="clear" w:color="auto" w:fill="C0C0C0"/>
          </w:tcPr>
          <w:p>
            <w:pPr>
              <w:spacing w:after="0"/>
              <w:rPr>
                <w:sz w:val="21"/>
                <w:szCs w:val="21"/>
                <w:color w:val="auto"/>
              </w:rPr>
            </w:pPr>
          </w:p>
        </w:tc>
        <w:tc>
          <w:tcPr>
            <w:tcW w:w="920" w:type="dxa"/>
            <w:vAlign w:val="bottom"/>
            <w:shd w:val="clear" w:color="auto" w:fill="C0C0C0"/>
          </w:tcPr>
          <w:p>
            <w:pPr>
              <w:spacing w:after="0"/>
              <w:rPr>
                <w:sz w:val="21"/>
                <w:szCs w:val="21"/>
                <w:color w:val="auto"/>
              </w:rPr>
            </w:pPr>
          </w:p>
        </w:tc>
        <w:tc>
          <w:tcPr>
            <w:tcW w:w="44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42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520" w:type="dxa"/>
            <w:vAlign w:val="bottom"/>
            <w:shd w:val="clear" w:color="auto" w:fill="C0C0C0"/>
          </w:tcPr>
          <w:p>
            <w:pPr>
              <w:spacing w:after="0"/>
              <w:rPr>
                <w:sz w:val="21"/>
                <w:szCs w:val="21"/>
                <w:color w:val="auto"/>
              </w:rPr>
            </w:pPr>
          </w:p>
        </w:tc>
        <w:tc>
          <w:tcPr>
            <w:tcW w:w="360" w:type="dxa"/>
            <w:vAlign w:val="bottom"/>
            <w:shd w:val="clear" w:color="auto" w:fill="C0C0C0"/>
          </w:tcPr>
          <w:p>
            <w:pPr>
              <w:spacing w:after="0"/>
              <w:rPr>
                <w:sz w:val="21"/>
                <w:szCs w:val="21"/>
                <w:color w:val="auto"/>
              </w:rPr>
            </w:pPr>
          </w:p>
        </w:tc>
        <w:tc>
          <w:tcPr>
            <w:tcW w:w="520" w:type="dxa"/>
            <w:vAlign w:val="bottom"/>
            <w:shd w:val="clear" w:color="auto" w:fill="C0C0C0"/>
          </w:tcPr>
          <w:p>
            <w:pPr>
              <w:spacing w:after="0"/>
              <w:rPr>
                <w:sz w:val="21"/>
                <w:szCs w:val="21"/>
                <w:color w:val="auto"/>
              </w:rPr>
            </w:pPr>
          </w:p>
        </w:tc>
        <w:tc>
          <w:tcPr>
            <w:tcW w:w="360" w:type="dxa"/>
            <w:vAlign w:val="bottom"/>
            <w:shd w:val="clear" w:color="auto" w:fill="C0C0C0"/>
          </w:tcPr>
          <w:p>
            <w:pPr>
              <w:spacing w:after="0"/>
              <w:rPr>
                <w:sz w:val="21"/>
                <w:szCs w:val="21"/>
                <w:color w:val="auto"/>
              </w:rPr>
            </w:pPr>
          </w:p>
        </w:tc>
        <w:tc>
          <w:tcPr>
            <w:tcW w:w="76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4340" w:type="dxa"/>
            <w:vAlign w:val="bottom"/>
          </w:tcPr>
          <w:p>
            <w:pPr>
              <w:ind w:left="280"/>
              <w:spacing w:after="0"/>
              <w:rPr>
                <w:sz w:val="20"/>
                <w:szCs w:val="20"/>
                <w:color w:val="auto"/>
              </w:rPr>
            </w:pPr>
            <w:r>
              <w:rPr>
                <w:rFonts w:ascii="Arial" w:cs="Arial" w:eastAsia="Arial" w:hAnsi="Arial"/>
                <w:sz w:val="18"/>
                <w:szCs w:val="18"/>
                <w:color w:val="auto"/>
              </w:rPr>
              <w:t>Commercial:</w:t>
            </w:r>
          </w:p>
        </w:tc>
        <w:tc>
          <w:tcPr>
            <w:tcW w:w="1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1"/>
        </w:trPr>
        <w:tc>
          <w:tcPr>
            <w:tcW w:w="4340" w:type="dxa"/>
            <w:vAlign w:val="bottom"/>
            <w:shd w:val="clear" w:color="auto" w:fill="C0C0C0"/>
          </w:tcPr>
          <w:p>
            <w:pPr>
              <w:ind w:left="540"/>
              <w:spacing w:after="0"/>
              <w:rPr>
                <w:sz w:val="20"/>
                <w:szCs w:val="20"/>
                <w:color w:val="auto"/>
              </w:rPr>
            </w:pPr>
            <w:r>
              <w:rPr>
                <w:rFonts w:ascii="Arial" w:cs="Arial" w:eastAsia="Arial" w:hAnsi="Arial"/>
                <w:sz w:val="18"/>
                <w:szCs w:val="18"/>
                <w:color w:val="auto"/>
              </w:rPr>
              <w:t>Mortgage</w:t>
            </w:r>
          </w:p>
        </w:tc>
        <w:tc>
          <w:tcPr>
            <w:tcW w:w="190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94,148</w:t>
            </w:r>
          </w:p>
        </w:tc>
        <w:tc>
          <w:tcPr>
            <w:tcW w:w="44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0C0C0"/>
          </w:tcPr>
          <w:p>
            <w:pPr>
              <w:spacing w:after="0"/>
              <w:rPr>
                <w:sz w:val="21"/>
                <w:szCs w:val="21"/>
                <w:color w:val="auto"/>
              </w:rPr>
            </w:pPr>
          </w:p>
        </w:tc>
        <w:tc>
          <w:tcPr>
            <w:tcW w:w="420" w:type="dxa"/>
            <w:vAlign w:val="bottom"/>
            <w:shd w:val="clear" w:color="auto" w:fill="C0C0C0"/>
          </w:tcPr>
          <w:p>
            <w:pPr>
              <w:ind w:lef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0C0C0"/>
          </w:tcPr>
          <w:p>
            <w:pPr>
              <w:spacing w:after="0"/>
              <w:rPr>
                <w:sz w:val="21"/>
                <w:szCs w:val="21"/>
                <w:color w:val="auto"/>
              </w:rPr>
            </w:pPr>
          </w:p>
        </w:tc>
        <w:tc>
          <w:tcPr>
            <w:tcW w:w="520" w:type="dxa"/>
            <w:vAlign w:val="bottom"/>
            <w:shd w:val="clear" w:color="auto" w:fill="C0C0C0"/>
          </w:tcPr>
          <w:p>
            <w:pPr>
              <w:ind w:left="340"/>
              <w:spacing w:after="0"/>
              <w:rPr>
                <w:sz w:val="20"/>
                <w:szCs w:val="20"/>
                <w:color w:val="auto"/>
              </w:rPr>
            </w:pPr>
            <w:r>
              <w:rPr>
                <w:rFonts w:ascii="Arial" w:cs="Arial" w:eastAsia="Arial" w:hAnsi="Arial"/>
                <w:sz w:val="18"/>
                <w:szCs w:val="18"/>
                <w:color w:val="auto"/>
                <w:w w:val="88"/>
              </w:rPr>
              <w:t>—</w:t>
            </w:r>
          </w:p>
        </w:tc>
        <w:tc>
          <w:tcPr>
            <w:tcW w:w="360" w:type="dxa"/>
            <w:vAlign w:val="bottom"/>
            <w:shd w:val="clear" w:color="auto" w:fill="C0C0C0"/>
          </w:tcPr>
          <w:p>
            <w:pPr>
              <w:spacing w:after="0"/>
              <w:rPr>
                <w:sz w:val="21"/>
                <w:szCs w:val="21"/>
                <w:color w:val="auto"/>
              </w:rPr>
            </w:pPr>
          </w:p>
        </w:tc>
        <w:tc>
          <w:tcPr>
            <w:tcW w:w="5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219</w:t>
            </w:r>
          </w:p>
        </w:tc>
        <w:tc>
          <w:tcPr>
            <w:tcW w:w="360" w:type="dxa"/>
            <w:vAlign w:val="bottom"/>
            <w:shd w:val="clear" w:color="auto" w:fill="C0C0C0"/>
          </w:tcPr>
          <w:p>
            <w:pPr>
              <w:spacing w:after="0"/>
              <w:rPr>
                <w:sz w:val="21"/>
                <w:szCs w:val="21"/>
                <w:color w:val="auto"/>
              </w:rPr>
            </w:pP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94,367</w:t>
            </w:r>
          </w:p>
        </w:tc>
        <w:tc>
          <w:tcPr>
            <w:tcW w:w="20" w:type="dxa"/>
            <w:vAlign w:val="bottom"/>
          </w:tcPr>
          <w:p>
            <w:pPr>
              <w:spacing w:after="0"/>
              <w:rPr>
                <w:sz w:val="21"/>
                <w:szCs w:val="21"/>
                <w:color w:val="auto"/>
              </w:rPr>
            </w:pPr>
          </w:p>
        </w:tc>
      </w:tr>
      <w:tr>
        <w:trPr>
          <w:trHeight w:val="235"/>
        </w:trPr>
        <w:tc>
          <w:tcPr>
            <w:tcW w:w="4340" w:type="dxa"/>
            <w:vAlign w:val="bottom"/>
          </w:tcPr>
          <w:p>
            <w:pPr>
              <w:ind w:left="540"/>
              <w:spacing w:after="0"/>
              <w:rPr>
                <w:sz w:val="20"/>
                <w:szCs w:val="20"/>
                <w:color w:val="auto"/>
              </w:rPr>
            </w:pPr>
            <w:r>
              <w:rPr>
                <w:rFonts w:ascii="Arial" w:cs="Arial" w:eastAsia="Arial" w:hAnsi="Arial"/>
                <w:sz w:val="18"/>
                <w:szCs w:val="18"/>
                <w:color w:val="auto"/>
              </w:rPr>
              <w:t>Construction</w:t>
            </w:r>
          </w:p>
        </w:tc>
        <w:tc>
          <w:tcPr>
            <w:tcW w:w="1900" w:type="dxa"/>
            <w:vAlign w:val="bottom"/>
          </w:tcPr>
          <w:p>
            <w:pPr>
              <w:spacing w:after="0"/>
              <w:rPr>
                <w:sz w:val="20"/>
                <w:szCs w:val="20"/>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8,482</w:t>
            </w: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420" w:type="dxa"/>
            <w:vAlign w:val="bottom"/>
          </w:tcPr>
          <w:p>
            <w:pPr>
              <w:ind w:lef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520" w:type="dxa"/>
            <w:vAlign w:val="bottom"/>
          </w:tcPr>
          <w:p>
            <w:pPr>
              <w:ind w:left="340"/>
              <w:spacing w:after="0"/>
              <w:rPr>
                <w:sz w:val="20"/>
                <w:szCs w:val="20"/>
                <w:color w:val="auto"/>
              </w:rPr>
            </w:pPr>
            <w:r>
              <w:rPr>
                <w:rFonts w:ascii="Arial" w:cs="Arial" w:eastAsia="Arial" w:hAnsi="Arial"/>
                <w:sz w:val="18"/>
                <w:szCs w:val="18"/>
                <w:color w:val="auto"/>
                <w:w w:val="88"/>
              </w:rPr>
              <w:t>—</w:t>
            </w:r>
          </w:p>
        </w:tc>
        <w:tc>
          <w:tcPr>
            <w:tcW w:w="3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8,482</w:t>
            </w:r>
          </w:p>
        </w:tc>
      </w:tr>
      <w:tr>
        <w:trPr>
          <w:trHeight w:val="251"/>
        </w:trPr>
        <w:tc>
          <w:tcPr>
            <w:tcW w:w="4340" w:type="dxa"/>
            <w:vAlign w:val="bottom"/>
            <w:shd w:val="clear" w:color="auto" w:fill="C0C0C0"/>
          </w:tcPr>
          <w:p>
            <w:pPr>
              <w:ind w:left="280"/>
              <w:spacing w:after="0"/>
              <w:rPr>
                <w:sz w:val="20"/>
                <w:szCs w:val="20"/>
                <w:color w:val="auto"/>
              </w:rPr>
            </w:pPr>
            <w:r>
              <w:rPr>
                <w:rFonts w:ascii="Arial" w:cs="Arial" w:eastAsia="Arial" w:hAnsi="Arial"/>
                <w:sz w:val="18"/>
                <w:szCs w:val="18"/>
                <w:color w:val="auto"/>
              </w:rPr>
              <w:t>Church, church-related:</w:t>
            </w:r>
          </w:p>
        </w:tc>
        <w:tc>
          <w:tcPr>
            <w:tcW w:w="1900" w:type="dxa"/>
            <w:vAlign w:val="bottom"/>
            <w:shd w:val="clear" w:color="auto" w:fill="C0C0C0"/>
          </w:tcPr>
          <w:p>
            <w:pPr>
              <w:spacing w:after="0"/>
              <w:rPr>
                <w:sz w:val="21"/>
                <w:szCs w:val="21"/>
                <w:color w:val="auto"/>
              </w:rPr>
            </w:pPr>
          </w:p>
        </w:tc>
        <w:tc>
          <w:tcPr>
            <w:tcW w:w="920" w:type="dxa"/>
            <w:vAlign w:val="bottom"/>
            <w:shd w:val="clear" w:color="auto" w:fill="C0C0C0"/>
          </w:tcPr>
          <w:p>
            <w:pPr>
              <w:spacing w:after="0"/>
              <w:rPr>
                <w:sz w:val="21"/>
                <w:szCs w:val="21"/>
                <w:color w:val="auto"/>
              </w:rPr>
            </w:pPr>
          </w:p>
        </w:tc>
        <w:tc>
          <w:tcPr>
            <w:tcW w:w="44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42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520" w:type="dxa"/>
            <w:vAlign w:val="bottom"/>
            <w:shd w:val="clear" w:color="auto" w:fill="C0C0C0"/>
          </w:tcPr>
          <w:p>
            <w:pPr>
              <w:spacing w:after="0"/>
              <w:rPr>
                <w:sz w:val="21"/>
                <w:szCs w:val="21"/>
                <w:color w:val="auto"/>
              </w:rPr>
            </w:pPr>
          </w:p>
        </w:tc>
        <w:tc>
          <w:tcPr>
            <w:tcW w:w="360" w:type="dxa"/>
            <w:vAlign w:val="bottom"/>
            <w:shd w:val="clear" w:color="auto" w:fill="C0C0C0"/>
          </w:tcPr>
          <w:p>
            <w:pPr>
              <w:spacing w:after="0"/>
              <w:rPr>
                <w:sz w:val="21"/>
                <w:szCs w:val="21"/>
                <w:color w:val="auto"/>
              </w:rPr>
            </w:pPr>
          </w:p>
        </w:tc>
        <w:tc>
          <w:tcPr>
            <w:tcW w:w="520" w:type="dxa"/>
            <w:vAlign w:val="bottom"/>
            <w:shd w:val="clear" w:color="auto" w:fill="C0C0C0"/>
          </w:tcPr>
          <w:p>
            <w:pPr>
              <w:spacing w:after="0"/>
              <w:rPr>
                <w:sz w:val="21"/>
                <w:szCs w:val="21"/>
                <w:color w:val="auto"/>
              </w:rPr>
            </w:pPr>
          </w:p>
        </w:tc>
        <w:tc>
          <w:tcPr>
            <w:tcW w:w="360" w:type="dxa"/>
            <w:vAlign w:val="bottom"/>
            <w:shd w:val="clear" w:color="auto" w:fill="C0C0C0"/>
          </w:tcPr>
          <w:p>
            <w:pPr>
              <w:spacing w:after="0"/>
              <w:rPr>
                <w:sz w:val="21"/>
                <w:szCs w:val="21"/>
                <w:color w:val="auto"/>
              </w:rPr>
            </w:pPr>
          </w:p>
        </w:tc>
        <w:tc>
          <w:tcPr>
            <w:tcW w:w="76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4340" w:type="dxa"/>
            <w:vAlign w:val="bottom"/>
          </w:tcPr>
          <w:p>
            <w:pPr>
              <w:ind w:left="540"/>
              <w:spacing w:after="0"/>
              <w:rPr>
                <w:sz w:val="20"/>
                <w:szCs w:val="20"/>
                <w:color w:val="auto"/>
              </w:rPr>
            </w:pPr>
            <w:r>
              <w:rPr>
                <w:rFonts w:ascii="Arial" w:cs="Arial" w:eastAsia="Arial" w:hAnsi="Arial"/>
                <w:sz w:val="18"/>
                <w:szCs w:val="18"/>
                <w:color w:val="auto"/>
              </w:rPr>
              <w:t>Mortgage</w:t>
            </w:r>
          </w:p>
        </w:tc>
        <w:tc>
          <w:tcPr>
            <w:tcW w:w="1900" w:type="dxa"/>
            <w:vAlign w:val="bottom"/>
          </w:tcPr>
          <w:p>
            <w:pPr>
              <w:spacing w:after="0"/>
              <w:rPr>
                <w:sz w:val="20"/>
                <w:szCs w:val="20"/>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325,906</w:t>
            </w: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420" w:type="dxa"/>
            <w:vAlign w:val="bottom"/>
          </w:tcPr>
          <w:p>
            <w:pPr>
              <w:ind w:lef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520" w:type="dxa"/>
            <w:vAlign w:val="bottom"/>
          </w:tcPr>
          <w:p>
            <w:pPr>
              <w:ind w:left="340"/>
              <w:spacing w:after="0"/>
              <w:rPr>
                <w:sz w:val="20"/>
                <w:szCs w:val="20"/>
                <w:color w:val="auto"/>
              </w:rPr>
            </w:pPr>
            <w:r>
              <w:rPr>
                <w:rFonts w:ascii="Arial" w:cs="Arial" w:eastAsia="Arial" w:hAnsi="Arial"/>
                <w:sz w:val="18"/>
                <w:szCs w:val="18"/>
                <w:color w:val="auto"/>
                <w:w w:val="88"/>
              </w:rPr>
              <w:t>—</w:t>
            </w:r>
          </w:p>
        </w:tc>
        <w:tc>
          <w:tcPr>
            <w:tcW w:w="3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325,906</w:t>
            </w:r>
          </w:p>
        </w:tc>
      </w:tr>
      <w:tr>
        <w:trPr>
          <w:trHeight w:val="251"/>
        </w:trPr>
        <w:tc>
          <w:tcPr>
            <w:tcW w:w="4340" w:type="dxa"/>
            <w:vAlign w:val="bottom"/>
            <w:shd w:val="clear" w:color="auto" w:fill="C0C0C0"/>
          </w:tcPr>
          <w:p>
            <w:pPr>
              <w:ind w:left="540"/>
              <w:spacing w:after="0"/>
              <w:rPr>
                <w:sz w:val="20"/>
                <w:szCs w:val="20"/>
                <w:color w:val="auto"/>
              </w:rPr>
            </w:pPr>
            <w:r>
              <w:rPr>
                <w:rFonts w:ascii="Arial" w:cs="Arial" w:eastAsia="Arial" w:hAnsi="Arial"/>
                <w:sz w:val="18"/>
                <w:szCs w:val="18"/>
                <w:color w:val="auto"/>
              </w:rPr>
              <w:t>Construction</w:t>
            </w:r>
          </w:p>
        </w:tc>
        <w:tc>
          <w:tcPr>
            <w:tcW w:w="190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12,214</w:t>
            </w:r>
          </w:p>
        </w:tc>
        <w:tc>
          <w:tcPr>
            <w:tcW w:w="44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0C0C0"/>
          </w:tcPr>
          <w:p>
            <w:pPr>
              <w:spacing w:after="0"/>
              <w:rPr>
                <w:sz w:val="21"/>
                <w:szCs w:val="21"/>
                <w:color w:val="auto"/>
              </w:rPr>
            </w:pPr>
          </w:p>
        </w:tc>
        <w:tc>
          <w:tcPr>
            <w:tcW w:w="420" w:type="dxa"/>
            <w:vAlign w:val="bottom"/>
            <w:shd w:val="clear" w:color="auto" w:fill="C0C0C0"/>
          </w:tcPr>
          <w:p>
            <w:pPr>
              <w:ind w:lef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0C0C0"/>
          </w:tcPr>
          <w:p>
            <w:pPr>
              <w:spacing w:after="0"/>
              <w:rPr>
                <w:sz w:val="21"/>
                <w:szCs w:val="21"/>
                <w:color w:val="auto"/>
              </w:rPr>
            </w:pPr>
          </w:p>
        </w:tc>
        <w:tc>
          <w:tcPr>
            <w:tcW w:w="520" w:type="dxa"/>
            <w:vAlign w:val="bottom"/>
            <w:shd w:val="clear" w:color="auto" w:fill="C0C0C0"/>
          </w:tcPr>
          <w:p>
            <w:pPr>
              <w:ind w:left="340"/>
              <w:spacing w:after="0"/>
              <w:rPr>
                <w:sz w:val="20"/>
                <w:szCs w:val="20"/>
                <w:color w:val="auto"/>
              </w:rPr>
            </w:pPr>
            <w:r>
              <w:rPr>
                <w:rFonts w:ascii="Arial" w:cs="Arial" w:eastAsia="Arial" w:hAnsi="Arial"/>
                <w:sz w:val="18"/>
                <w:szCs w:val="18"/>
                <w:color w:val="auto"/>
                <w:w w:val="88"/>
              </w:rPr>
              <w:t>—</w:t>
            </w:r>
          </w:p>
        </w:tc>
        <w:tc>
          <w:tcPr>
            <w:tcW w:w="360" w:type="dxa"/>
            <w:vAlign w:val="bottom"/>
            <w:shd w:val="clear" w:color="auto" w:fill="C0C0C0"/>
          </w:tcPr>
          <w:p>
            <w:pPr>
              <w:spacing w:after="0"/>
              <w:rPr>
                <w:sz w:val="21"/>
                <w:szCs w:val="21"/>
                <w:color w:val="auto"/>
              </w:rPr>
            </w:pPr>
          </w:p>
        </w:tc>
        <w:tc>
          <w:tcPr>
            <w:tcW w:w="5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0C0C0"/>
          </w:tcPr>
          <w:p>
            <w:pPr>
              <w:spacing w:after="0"/>
              <w:rPr>
                <w:sz w:val="21"/>
                <w:szCs w:val="21"/>
                <w:color w:val="auto"/>
              </w:rPr>
            </w:pP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12,214</w:t>
            </w:r>
          </w:p>
        </w:tc>
        <w:tc>
          <w:tcPr>
            <w:tcW w:w="20" w:type="dxa"/>
            <w:vAlign w:val="bottom"/>
          </w:tcPr>
          <w:p>
            <w:pPr>
              <w:spacing w:after="0"/>
              <w:rPr>
                <w:sz w:val="21"/>
                <w:szCs w:val="21"/>
                <w:color w:val="auto"/>
              </w:rPr>
            </w:pPr>
          </w:p>
        </w:tc>
      </w:tr>
      <w:tr>
        <w:trPr>
          <w:trHeight w:val="235"/>
        </w:trPr>
        <w:tc>
          <w:tcPr>
            <w:tcW w:w="4340" w:type="dxa"/>
            <w:vAlign w:val="bottom"/>
          </w:tcPr>
          <w:p>
            <w:pPr>
              <w:spacing w:after="0"/>
              <w:rPr>
                <w:sz w:val="20"/>
                <w:szCs w:val="20"/>
                <w:color w:val="auto"/>
              </w:rPr>
            </w:pPr>
            <w:r>
              <w:rPr>
                <w:rFonts w:ascii="Arial" w:cs="Arial" w:eastAsia="Arial" w:hAnsi="Arial"/>
                <w:sz w:val="18"/>
                <w:szCs w:val="18"/>
                <w:color w:val="auto"/>
              </w:rPr>
              <w:t>Industrial revenue bonds</w:t>
            </w:r>
          </w:p>
        </w:tc>
        <w:tc>
          <w:tcPr>
            <w:tcW w:w="1900" w:type="dxa"/>
            <w:vAlign w:val="bottom"/>
          </w:tcPr>
          <w:p>
            <w:pPr>
              <w:spacing w:after="0"/>
              <w:rPr>
                <w:sz w:val="20"/>
                <w:szCs w:val="20"/>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5,007</w:t>
            </w: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420" w:type="dxa"/>
            <w:vAlign w:val="bottom"/>
          </w:tcPr>
          <w:p>
            <w:pPr>
              <w:ind w:lef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520" w:type="dxa"/>
            <w:vAlign w:val="bottom"/>
          </w:tcPr>
          <w:p>
            <w:pPr>
              <w:ind w:left="340"/>
              <w:spacing w:after="0"/>
              <w:rPr>
                <w:sz w:val="20"/>
                <w:szCs w:val="20"/>
                <w:color w:val="auto"/>
              </w:rPr>
            </w:pPr>
            <w:r>
              <w:rPr>
                <w:rFonts w:ascii="Arial" w:cs="Arial" w:eastAsia="Arial" w:hAnsi="Arial"/>
                <w:sz w:val="18"/>
                <w:szCs w:val="18"/>
                <w:color w:val="auto"/>
                <w:w w:val="88"/>
              </w:rPr>
              <w:t>—</w:t>
            </w:r>
          </w:p>
        </w:tc>
        <w:tc>
          <w:tcPr>
            <w:tcW w:w="3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5,007</w:t>
            </w:r>
          </w:p>
        </w:tc>
      </w:tr>
      <w:tr>
        <w:trPr>
          <w:trHeight w:val="244"/>
        </w:trPr>
        <w:tc>
          <w:tcPr>
            <w:tcW w:w="434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Other</w:t>
            </w:r>
          </w:p>
        </w:tc>
        <w:tc>
          <w:tcPr>
            <w:tcW w:w="1900" w:type="dxa"/>
            <w:vAlign w:val="bottom"/>
            <w:tcBorders>
              <w:bottom w:val="single" w:sz="8" w:color="auto"/>
            </w:tcBorders>
            <w:shd w:val="clear" w:color="auto" w:fill="C0C0C0"/>
          </w:tcPr>
          <w:p>
            <w:pPr>
              <w:spacing w:after="0"/>
              <w:rPr>
                <w:sz w:val="21"/>
                <w:szCs w:val="21"/>
                <w:color w:val="auto"/>
              </w:rPr>
            </w:pPr>
          </w:p>
        </w:tc>
        <w:tc>
          <w:tcPr>
            <w:tcW w:w="92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80</w:t>
            </w:r>
          </w:p>
        </w:tc>
        <w:tc>
          <w:tcPr>
            <w:tcW w:w="440" w:type="dxa"/>
            <w:vAlign w:val="bottom"/>
            <w:tcBorders>
              <w:bottom w:val="single" w:sz="8" w:color="auto"/>
            </w:tcBorders>
            <w:shd w:val="clear" w:color="auto" w:fill="C0C0C0"/>
          </w:tcPr>
          <w:p>
            <w:pPr>
              <w:spacing w:after="0"/>
              <w:rPr>
                <w:sz w:val="21"/>
                <w:szCs w:val="21"/>
                <w:color w:val="auto"/>
              </w:rPr>
            </w:pPr>
          </w:p>
        </w:tc>
        <w:tc>
          <w:tcPr>
            <w:tcW w:w="30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0C0C0"/>
          </w:tcPr>
          <w:p>
            <w:pPr>
              <w:spacing w:after="0"/>
              <w:rPr>
                <w:sz w:val="21"/>
                <w:szCs w:val="21"/>
                <w:color w:val="auto"/>
              </w:rPr>
            </w:pPr>
          </w:p>
        </w:tc>
        <w:tc>
          <w:tcPr>
            <w:tcW w:w="420" w:type="dxa"/>
            <w:vAlign w:val="bottom"/>
            <w:tcBorders>
              <w:bottom w:val="single" w:sz="8" w:color="auto"/>
            </w:tcBorders>
            <w:shd w:val="clear" w:color="auto" w:fill="C0C0C0"/>
          </w:tcPr>
          <w:p>
            <w:pPr>
              <w:ind w:left="1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0C0C0"/>
          </w:tcPr>
          <w:p>
            <w:pPr>
              <w:spacing w:after="0"/>
              <w:rPr>
                <w:sz w:val="21"/>
                <w:szCs w:val="21"/>
                <w:color w:val="auto"/>
              </w:rPr>
            </w:pPr>
          </w:p>
        </w:tc>
        <w:tc>
          <w:tcPr>
            <w:tcW w:w="520" w:type="dxa"/>
            <w:vAlign w:val="bottom"/>
            <w:tcBorders>
              <w:bottom w:val="single" w:sz="8" w:color="auto"/>
            </w:tcBorders>
            <w:shd w:val="clear" w:color="auto" w:fill="C0C0C0"/>
          </w:tcPr>
          <w:p>
            <w:pPr>
              <w:ind w:left="340"/>
              <w:spacing w:after="0"/>
              <w:rPr>
                <w:sz w:val="20"/>
                <w:szCs w:val="20"/>
                <w:color w:val="auto"/>
              </w:rPr>
            </w:pPr>
            <w:r>
              <w:rPr>
                <w:rFonts w:ascii="Arial" w:cs="Arial" w:eastAsia="Arial" w:hAnsi="Arial"/>
                <w:sz w:val="18"/>
                <w:szCs w:val="18"/>
                <w:color w:val="auto"/>
                <w:w w:val="88"/>
              </w:rPr>
              <w:t>—</w:t>
            </w:r>
          </w:p>
        </w:tc>
        <w:tc>
          <w:tcPr>
            <w:tcW w:w="360" w:type="dxa"/>
            <w:vAlign w:val="bottom"/>
            <w:tcBorders>
              <w:bottom w:val="single" w:sz="8" w:color="auto"/>
            </w:tcBorders>
            <w:shd w:val="clear" w:color="auto" w:fill="C0C0C0"/>
          </w:tcPr>
          <w:p>
            <w:pPr>
              <w:spacing w:after="0"/>
              <w:rPr>
                <w:sz w:val="21"/>
                <w:szCs w:val="21"/>
                <w:color w:val="auto"/>
              </w:rPr>
            </w:pPr>
          </w:p>
        </w:tc>
        <w:tc>
          <w:tcPr>
            <w:tcW w:w="5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0C0C0"/>
          </w:tcPr>
          <w:p>
            <w:pPr>
              <w:spacing w:after="0"/>
              <w:rPr>
                <w:sz w:val="21"/>
                <w:szCs w:val="21"/>
                <w:color w:val="auto"/>
              </w:rPr>
            </w:pPr>
          </w:p>
        </w:tc>
        <w:tc>
          <w:tcPr>
            <w:tcW w:w="7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21"/>
                <w:szCs w:val="21"/>
                <w:color w:val="auto"/>
              </w:rPr>
            </w:pPr>
          </w:p>
        </w:tc>
      </w:tr>
      <w:tr>
        <w:trPr>
          <w:trHeight w:val="237"/>
        </w:trPr>
        <w:tc>
          <w:tcPr>
            <w:tcW w:w="4340" w:type="dxa"/>
            <w:vAlign w:val="bottom"/>
          </w:tcPr>
          <w:p>
            <w:pPr>
              <w:spacing w:after="0"/>
              <w:rPr>
                <w:sz w:val="20"/>
                <w:szCs w:val="20"/>
                <w:color w:val="auto"/>
              </w:rPr>
            </w:pPr>
            <w:r>
              <w:rPr>
                <w:rFonts w:ascii="Arial" w:cs="Arial" w:eastAsia="Arial" w:hAnsi="Arial"/>
                <w:sz w:val="18"/>
                <w:szCs w:val="18"/>
                <w:color w:val="auto"/>
              </w:rPr>
              <w:t>Total</w:t>
            </w:r>
          </w:p>
        </w:tc>
        <w:tc>
          <w:tcPr>
            <w:tcW w:w="19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671,464</w:t>
            </w:r>
          </w:p>
        </w:tc>
        <w:tc>
          <w:tcPr>
            <w:tcW w:w="440" w:type="dxa"/>
            <w:vAlign w:val="bottom"/>
          </w:tcPr>
          <w:p>
            <w:pPr>
              <w:jc w:val="center"/>
              <w:ind w:right="12"/>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tcPr>
          <w:p>
            <w:pPr>
              <w:ind w:left="120"/>
              <w:spacing w:after="0"/>
              <w:rPr>
                <w:sz w:val="20"/>
                <w:szCs w:val="20"/>
                <w:color w:val="auto"/>
              </w:rPr>
            </w:pPr>
            <w:r>
              <w:rPr>
                <w:rFonts w:ascii="Arial" w:cs="Arial" w:eastAsia="Arial" w:hAnsi="Arial"/>
                <w:sz w:val="18"/>
                <w:szCs w:val="18"/>
                <w:color w:val="auto"/>
              </w:rPr>
              <w:t>—</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520" w:type="dxa"/>
            <w:vAlign w:val="bottom"/>
          </w:tcPr>
          <w:p>
            <w:pPr>
              <w:ind w:left="340"/>
              <w:spacing w:after="0"/>
              <w:rPr>
                <w:sz w:val="20"/>
                <w:szCs w:val="20"/>
                <w:color w:val="auto"/>
              </w:rPr>
            </w:pPr>
            <w:r>
              <w:rPr>
                <w:rFonts w:ascii="Arial" w:cs="Arial" w:eastAsia="Arial" w:hAnsi="Arial"/>
                <w:sz w:val="18"/>
                <w:szCs w:val="18"/>
                <w:color w:val="auto"/>
                <w:w w:val="88"/>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219</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671,683</w:t>
            </w:r>
          </w:p>
        </w:tc>
      </w:tr>
      <w:tr>
        <w:trPr>
          <w:trHeight w:val="243"/>
        </w:trPr>
        <w:tc>
          <w:tcPr>
            <w:tcW w:w="434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8"/>
                <w:szCs w:val="18"/>
                <w:i w:val="1"/>
                <w:iCs w:val="1"/>
                <w:color w:val="auto"/>
              </w:rPr>
              <w:t>December 31, 2016</w:t>
            </w:r>
          </w:p>
        </w:tc>
        <w:tc>
          <w:tcPr>
            <w:tcW w:w="1900" w:type="dxa"/>
            <w:vAlign w:val="bottom"/>
            <w:tcBorders>
              <w:top w:val="single" w:sz="8" w:color="auto"/>
            </w:tcBorders>
            <w:shd w:val="clear" w:color="auto" w:fill="C0C0C0"/>
          </w:tcPr>
          <w:p>
            <w:pPr>
              <w:spacing w:after="0"/>
              <w:rPr>
                <w:sz w:val="21"/>
                <w:szCs w:val="21"/>
                <w:color w:val="auto"/>
              </w:rPr>
            </w:pPr>
          </w:p>
        </w:tc>
        <w:tc>
          <w:tcPr>
            <w:tcW w:w="920" w:type="dxa"/>
            <w:vAlign w:val="bottom"/>
            <w:tcBorders>
              <w:top w:val="single" w:sz="8" w:color="auto"/>
            </w:tcBorders>
            <w:shd w:val="clear" w:color="auto" w:fill="C0C0C0"/>
          </w:tcPr>
          <w:p>
            <w:pPr>
              <w:spacing w:after="0"/>
              <w:rPr>
                <w:sz w:val="21"/>
                <w:szCs w:val="21"/>
                <w:color w:val="auto"/>
              </w:rPr>
            </w:pPr>
          </w:p>
        </w:tc>
        <w:tc>
          <w:tcPr>
            <w:tcW w:w="440" w:type="dxa"/>
            <w:vAlign w:val="bottom"/>
            <w:tcBorders>
              <w:top w:val="single" w:sz="8" w:color="auto"/>
            </w:tcBorders>
            <w:shd w:val="clear" w:color="auto" w:fill="C0C0C0"/>
          </w:tcPr>
          <w:p>
            <w:pPr>
              <w:spacing w:after="0"/>
              <w:rPr>
                <w:sz w:val="21"/>
                <w:szCs w:val="21"/>
                <w:color w:val="auto"/>
              </w:rPr>
            </w:pPr>
          </w:p>
        </w:tc>
        <w:tc>
          <w:tcPr>
            <w:tcW w:w="300" w:type="dxa"/>
            <w:vAlign w:val="bottom"/>
            <w:tcBorders>
              <w:top w:val="single" w:sz="8" w:color="auto"/>
            </w:tcBorders>
            <w:shd w:val="clear" w:color="auto" w:fill="C0C0C0"/>
          </w:tcPr>
          <w:p>
            <w:pPr>
              <w:spacing w:after="0"/>
              <w:rPr>
                <w:sz w:val="21"/>
                <w:szCs w:val="21"/>
                <w:color w:val="auto"/>
              </w:rPr>
            </w:pPr>
          </w:p>
        </w:tc>
        <w:tc>
          <w:tcPr>
            <w:tcW w:w="340" w:type="dxa"/>
            <w:vAlign w:val="bottom"/>
            <w:tcBorders>
              <w:top w:val="single" w:sz="8" w:color="auto"/>
            </w:tcBorders>
            <w:shd w:val="clear" w:color="auto" w:fill="C0C0C0"/>
          </w:tcPr>
          <w:p>
            <w:pPr>
              <w:spacing w:after="0"/>
              <w:rPr>
                <w:sz w:val="21"/>
                <w:szCs w:val="21"/>
                <w:color w:val="auto"/>
              </w:rPr>
            </w:pPr>
          </w:p>
        </w:tc>
        <w:tc>
          <w:tcPr>
            <w:tcW w:w="420" w:type="dxa"/>
            <w:vAlign w:val="bottom"/>
            <w:tcBorders>
              <w:top w:val="single" w:sz="8" w:color="auto"/>
            </w:tcBorders>
            <w:shd w:val="clear" w:color="auto" w:fill="C0C0C0"/>
          </w:tcPr>
          <w:p>
            <w:pPr>
              <w:spacing w:after="0"/>
              <w:rPr>
                <w:sz w:val="21"/>
                <w:szCs w:val="21"/>
                <w:color w:val="auto"/>
              </w:rPr>
            </w:pPr>
          </w:p>
        </w:tc>
        <w:tc>
          <w:tcPr>
            <w:tcW w:w="240" w:type="dxa"/>
            <w:vAlign w:val="bottom"/>
            <w:tcBorders>
              <w:top w:val="single" w:sz="8" w:color="auto"/>
            </w:tcBorders>
            <w:shd w:val="clear" w:color="auto" w:fill="C0C0C0"/>
          </w:tcPr>
          <w:p>
            <w:pPr>
              <w:spacing w:after="0"/>
              <w:rPr>
                <w:sz w:val="21"/>
                <w:szCs w:val="21"/>
                <w:color w:val="auto"/>
              </w:rPr>
            </w:pPr>
          </w:p>
        </w:tc>
        <w:tc>
          <w:tcPr>
            <w:tcW w:w="520" w:type="dxa"/>
            <w:vAlign w:val="bottom"/>
            <w:tcBorders>
              <w:top w:val="single" w:sz="8" w:color="auto"/>
            </w:tcBorders>
            <w:shd w:val="clear" w:color="auto" w:fill="C0C0C0"/>
          </w:tcPr>
          <w:p>
            <w:pPr>
              <w:spacing w:after="0"/>
              <w:rPr>
                <w:sz w:val="21"/>
                <w:szCs w:val="21"/>
                <w:color w:val="auto"/>
              </w:rPr>
            </w:pPr>
          </w:p>
        </w:tc>
        <w:tc>
          <w:tcPr>
            <w:tcW w:w="360" w:type="dxa"/>
            <w:vAlign w:val="bottom"/>
            <w:tcBorders>
              <w:top w:val="single" w:sz="8" w:color="auto"/>
            </w:tcBorders>
            <w:shd w:val="clear" w:color="auto" w:fill="C0C0C0"/>
          </w:tcPr>
          <w:p>
            <w:pPr>
              <w:spacing w:after="0"/>
              <w:rPr>
                <w:sz w:val="21"/>
                <w:szCs w:val="21"/>
                <w:color w:val="auto"/>
              </w:rPr>
            </w:pPr>
          </w:p>
        </w:tc>
        <w:tc>
          <w:tcPr>
            <w:tcW w:w="520" w:type="dxa"/>
            <w:vAlign w:val="bottom"/>
            <w:tcBorders>
              <w:top w:val="single" w:sz="8" w:color="auto"/>
            </w:tcBorders>
            <w:shd w:val="clear" w:color="auto" w:fill="C0C0C0"/>
          </w:tcPr>
          <w:p>
            <w:pPr>
              <w:spacing w:after="0"/>
              <w:rPr>
                <w:sz w:val="21"/>
                <w:szCs w:val="21"/>
                <w:color w:val="auto"/>
              </w:rPr>
            </w:pPr>
          </w:p>
        </w:tc>
        <w:tc>
          <w:tcPr>
            <w:tcW w:w="360" w:type="dxa"/>
            <w:vAlign w:val="bottom"/>
            <w:tcBorders>
              <w:top w:val="single" w:sz="8" w:color="auto"/>
            </w:tcBorders>
            <w:shd w:val="clear" w:color="auto" w:fill="C0C0C0"/>
          </w:tcPr>
          <w:p>
            <w:pPr>
              <w:spacing w:after="0"/>
              <w:rPr>
                <w:sz w:val="21"/>
                <w:szCs w:val="21"/>
                <w:color w:val="auto"/>
              </w:rPr>
            </w:pPr>
          </w:p>
        </w:tc>
        <w:tc>
          <w:tcPr>
            <w:tcW w:w="760" w:type="dxa"/>
            <w:vAlign w:val="bottom"/>
            <w:tcBorders>
              <w:top w:val="single" w:sz="8" w:color="auto"/>
            </w:tcBorders>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4340" w:type="dxa"/>
            <w:vAlign w:val="bottom"/>
          </w:tcPr>
          <w:p>
            <w:pPr>
              <w:spacing w:after="0"/>
              <w:rPr>
                <w:sz w:val="20"/>
                <w:szCs w:val="20"/>
                <w:color w:val="auto"/>
              </w:rPr>
            </w:pPr>
            <w:r>
              <w:rPr>
                <w:rFonts w:ascii="Arial" w:cs="Arial" w:eastAsia="Arial" w:hAnsi="Arial"/>
                <w:sz w:val="18"/>
                <w:szCs w:val="18"/>
                <w:color w:val="auto"/>
              </w:rPr>
              <w:t>Commercial and industrial</w:t>
            </w:r>
          </w:p>
        </w:tc>
        <w:tc>
          <w:tcPr>
            <w:tcW w:w="19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214,767</w:t>
            </w:r>
          </w:p>
        </w:tc>
        <w:tc>
          <w:tcPr>
            <w:tcW w:w="440" w:type="dxa"/>
            <w:vAlign w:val="bottom"/>
          </w:tcPr>
          <w:p>
            <w:pPr>
              <w:jc w:val="center"/>
              <w:ind w:right="12"/>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tcPr>
          <w:p>
            <w:pPr>
              <w:ind w:left="120"/>
              <w:spacing w:after="0"/>
              <w:rPr>
                <w:sz w:val="20"/>
                <w:szCs w:val="20"/>
                <w:color w:val="auto"/>
              </w:rPr>
            </w:pPr>
            <w:r>
              <w:rPr>
                <w:rFonts w:ascii="Arial" w:cs="Arial" w:eastAsia="Arial" w:hAnsi="Arial"/>
                <w:sz w:val="18"/>
                <w:szCs w:val="18"/>
                <w:color w:val="auto"/>
              </w:rPr>
              <w:t>—</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520" w:type="dxa"/>
            <w:vAlign w:val="bottom"/>
          </w:tcPr>
          <w:p>
            <w:pPr>
              <w:ind w:left="340"/>
              <w:spacing w:after="0"/>
              <w:rPr>
                <w:sz w:val="20"/>
                <w:szCs w:val="20"/>
                <w:color w:val="auto"/>
              </w:rPr>
            </w:pPr>
            <w:r>
              <w:rPr>
                <w:rFonts w:ascii="Arial" w:cs="Arial" w:eastAsia="Arial" w:hAnsi="Arial"/>
                <w:sz w:val="18"/>
                <w:szCs w:val="18"/>
                <w:color w:val="auto"/>
                <w:w w:val="88"/>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214,767</w:t>
            </w:r>
          </w:p>
        </w:tc>
      </w:tr>
      <w:tr>
        <w:trPr>
          <w:trHeight w:val="251"/>
        </w:trPr>
        <w:tc>
          <w:tcPr>
            <w:tcW w:w="4340" w:type="dxa"/>
            <w:vAlign w:val="bottom"/>
            <w:shd w:val="clear" w:color="auto" w:fill="C0C0C0"/>
          </w:tcPr>
          <w:p>
            <w:pPr>
              <w:spacing w:after="0"/>
              <w:rPr>
                <w:sz w:val="20"/>
                <w:szCs w:val="20"/>
                <w:color w:val="auto"/>
              </w:rPr>
            </w:pPr>
            <w:r>
              <w:rPr>
                <w:rFonts w:ascii="Arial" w:cs="Arial" w:eastAsia="Arial" w:hAnsi="Arial"/>
                <w:sz w:val="18"/>
                <w:szCs w:val="18"/>
                <w:color w:val="auto"/>
              </w:rPr>
              <w:t>Real estate</w:t>
            </w:r>
          </w:p>
        </w:tc>
        <w:tc>
          <w:tcPr>
            <w:tcW w:w="1900" w:type="dxa"/>
            <w:vAlign w:val="bottom"/>
            <w:shd w:val="clear" w:color="auto" w:fill="C0C0C0"/>
          </w:tcPr>
          <w:p>
            <w:pPr>
              <w:spacing w:after="0"/>
              <w:rPr>
                <w:sz w:val="21"/>
                <w:szCs w:val="21"/>
                <w:color w:val="auto"/>
              </w:rPr>
            </w:pPr>
          </w:p>
        </w:tc>
        <w:tc>
          <w:tcPr>
            <w:tcW w:w="920" w:type="dxa"/>
            <w:vAlign w:val="bottom"/>
            <w:shd w:val="clear" w:color="auto" w:fill="C0C0C0"/>
          </w:tcPr>
          <w:p>
            <w:pPr>
              <w:spacing w:after="0"/>
              <w:rPr>
                <w:sz w:val="21"/>
                <w:szCs w:val="21"/>
                <w:color w:val="auto"/>
              </w:rPr>
            </w:pPr>
          </w:p>
        </w:tc>
        <w:tc>
          <w:tcPr>
            <w:tcW w:w="44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42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520" w:type="dxa"/>
            <w:vAlign w:val="bottom"/>
            <w:shd w:val="clear" w:color="auto" w:fill="C0C0C0"/>
          </w:tcPr>
          <w:p>
            <w:pPr>
              <w:spacing w:after="0"/>
              <w:rPr>
                <w:sz w:val="21"/>
                <w:szCs w:val="21"/>
                <w:color w:val="auto"/>
              </w:rPr>
            </w:pPr>
          </w:p>
        </w:tc>
        <w:tc>
          <w:tcPr>
            <w:tcW w:w="360" w:type="dxa"/>
            <w:vAlign w:val="bottom"/>
            <w:shd w:val="clear" w:color="auto" w:fill="C0C0C0"/>
          </w:tcPr>
          <w:p>
            <w:pPr>
              <w:spacing w:after="0"/>
              <w:rPr>
                <w:sz w:val="21"/>
                <w:szCs w:val="21"/>
                <w:color w:val="auto"/>
              </w:rPr>
            </w:pPr>
          </w:p>
        </w:tc>
        <w:tc>
          <w:tcPr>
            <w:tcW w:w="520" w:type="dxa"/>
            <w:vAlign w:val="bottom"/>
            <w:shd w:val="clear" w:color="auto" w:fill="C0C0C0"/>
          </w:tcPr>
          <w:p>
            <w:pPr>
              <w:spacing w:after="0"/>
              <w:rPr>
                <w:sz w:val="21"/>
                <w:szCs w:val="21"/>
                <w:color w:val="auto"/>
              </w:rPr>
            </w:pPr>
          </w:p>
        </w:tc>
        <w:tc>
          <w:tcPr>
            <w:tcW w:w="360" w:type="dxa"/>
            <w:vAlign w:val="bottom"/>
            <w:shd w:val="clear" w:color="auto" w:fill="C0C0C0"/>
          </w:tcPr>
          <w:p>
            <w:pPr>
              <w:spacing w:after="0"/>
              <w:rPr>
                <w:sz w:val="21"/>
                <w:szCs w:val="21"/>
                <w:color w:val="auto"/>
              </w:rPr>
            </w:pPr>
          </w:p>
        </w:tc>
        <w:tc>
          <w:tcPr>
            <w:tcW w:w="76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4340" w:type="dxa"/>
            <w:vAlign w:val="bottom"/>
          </w:tcPr>
          <w:p>
            <w:pPr>
              <w:ind w:left="280"/>
              <w:spacing w:after="0"/>
              <w:rPr>
                <w:sz w:val="20"/>
                <w:szCs w:val="20"/>
                <w:color w:val="auto"/>
              </w:rPr>
            </w:pPr>
            <w:r>
              <w:rPr>
                <w:rFonts w:ascii="Arial" w:cs="Arial" w:eastAsia="Arial" w:hAnsi="Arial"/>
                <w:sz w:val="18"/>
                <w:szCs w:val="18"/>
                <w:color w:val="auto"/>
              </w:rPr>
              <w:t>Commercial:</w:t>
            </w:r>
          </w:p>
        </w:tc>
        <w:tc>
          <w:tcPr>
            <w:tcW w:w="1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1"/>
        </w:trPr>
        <w:tc>
          <w:tcPr>
            <w:tcW w:w="4340" w:type="dxa"/>
            <w:vAlign w:val="bottom"/>
            <w:shd w:val="clear" w:color="auto" w:fill="C0C0C0"/>
          </w:tcPr>
          <w:p>
            <w:pPr>
              <w:ind w:left="540"/>
              <w:spacing w:after="0"/>
              <w:rPr>
                <w:sz w:val="20"/>
                <w:szCs w:val="20"/>
                <w:color w:val="auto"/>
              </w:rPr>
            </w:pPr>
            <w:r>
              <w:rPr>
                <w:rFonts w:ascii="Arial" w:cs="Arial" w:eastAsia="Arial" w:hAnsi="Arial"/>
                <w:sz w:val="18"/>
                <w:szCs w:val="18"/>
                <w:color w:val="auto"/>
              </w:rPr>
              <w:t>Mortgage</w:t>
            </w:r>
          </w:p>
        </w:tc>
        <w:tc>
          <w:tcPr>
            <w:tcW w:w="190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104,534</w:t>
            </w:r>
          </w:p>
        </w:tc>
        <w:tc>
          <w:tcPr>
            <w:tcW w:w="44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0C0C0"/>
          </w:tcPr>
          <w:p>
            <w:pPr>
              <w:spacing w:after="0"/>
              <w:rPr>
                <w:sz w:val="21"/>
                <w:szCs w:val="21"/>
                <w:color w:val="auto"/>
              </w:rPr>
            </w:pPr>
          </w:p>
        </w:tc>
        <w:tc>
          <w:tcPr>
            <w:tcW w:w="420" w:type="dxa"/>
            <w:vAlign w:val="bottom"/>
            <w:shd w:val="clear" w:color="auto" w:fill="C0C0C0"/>
          </w:tcPr>
          <w:p>
            <w:pPr>
              <w:ind w:lef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0C0C0"/>
          </w:tcPr>
          <w:p>
            <w:pPr>
              <w:spacing w:after="0"/>
              <w:rPr>
                <w:sz w:val="21"/>
                <w:szCs w:val="21"/>
                <w:color w:val="auto"/>
              </w:rPr>
            </w:pPr>
          </w:p>
        </w:tc>
        <w:tc>
          <w:tcPr>
            <w:tcW w:w="520" w:type="dxa"/>
            <w:vAlign w:val="bottom"/>
            <w:shd w:val="clear" w:color="auto" w:fill="C0C0C0"/>
          </w:tcPr>
          <w:p>
            <w:pPr>
              <w:ind w:left="340"/>
              <w:spacing w:after="0"/>
              <w:rPr>
                <w:sz w:val="20"/>
                <w:szCs w:val="20"/>
                <w:color w:val="auto"/>
              </w:rPr>
            </w:pPr>
            <w:r>
              <w:rPr>
                <w:rFonts w:ascii="Arial" w:cs="Arial" w:eastAsia="Arial" w:hAnsi="Arial"/>
                <w:sz w:val="18"/>
                <w:szCs w:val="18"/>
                <w:color w:val="auto"/>
                <w:w w:val="88"/>
              </w:rPr>
              <w:t>—</w:t>
            </w:r>
          </w:p>
        </w:tc>
        <w:tc>
          <w:tcPr>
            <w:tcW w:w="360" w:type="dxa"/>
            <w:vAlign w:val="bottom"/>
            <w:shd w:val="clear" w:color="auto" w:fill="C0C0C0"/>
          </w:tcPr>
          <w:p>
            <w:pPr>
              <w:spacing w:after="0"/>
              <w:rPr>
                <w:sz w:val="21"/>
                <w:szCs w:val="21"/>
                <w:color w:val="auto"/>
              </w:rPr>
            </w:pPr>
          </w:p>
        </w:tc>
        <w:tc>
          <w:tcPr>
            <w:tcW w:w="5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245</w:t>
            </w:r>
          </w:p>
        </w:tc>
        <w:tc>
          <w:tcPr>
            <w:tcW w:w="360" w:type="dxa"/>
            <w:vAlign w:val="bottom"/>
            <w:shd w:val="clear" w:color="auto" w:fill="C0C0C0"/>
          </w:tcPr>
          <w:p>
            <w:pPr>
              <w:spacing w:after="0"/>
              <w:rPr>
                <w:sz w:val="21"/>
                <w:szCs w:val="21"/>
                <w:color w:val="auto"/>
              </w:rPr>
            </w:pP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104,779</w:t>
            </w:r>
          </w:p>
        </w:tc>
        <w:tc>
          <w:tcPr>
            <w:tcW w:w="20" w:type="dxa"/>
            <w:vAlign w:val="bottom"/>
          </w:tcPr>
          <w:p>
            <w:pPr>
              <w:spacing w:after="0"/>
              <w:rPr>
                <w:sz w:val="21"/>
                <w:szCs w:val="21"/>
                <w:color w:val="auto"/>
              </w:rPr>
            </w:pPr>
          </w:p>
        </w:tc>
      </w:tr>
      <w:tr>
        <w:trPr>
          <w:trHeight w:val="235"/>
        </w:trPr>
        <w:tc>
          <w:tcPr>
            <w:tcW w:w="4340" w:type="dxa"/>
            <w:vAlign w:val="bottom"/>
          </w:tcPr>
          <w:p>
            <w:pPr>
              <w:ind w:left="540"/>
              <w:spacing w:after="0"/>
              <w:rPr>
                <w:sz w:val="20"/>
                <w:szCs w:val="20"/>
                <w:color w:val="auto"/>
              </w:rPr>
            </w:pPr>
            <w:r>
              <w:rPr>
                <w:rFonts w:ascii="Arial" w:cs="Arial" w:eastAsia="Arial" w:hAnsi="Arial"/>
                <w:sz w:val="18"/>
                <w:szCs w:val="18"/>
                <w:color w:val="auto"/>
              </w:rPr>
              <w:t>Construction</w:t>
            </w:r>
          </w:p>
        </w:tc>
        <w:tc>
          <w:tcPr>
            <w:tcW w:w="1900" w:type="dxa"/>
            <w:vAlign w:val="bottom"/>
          </w:tcPr>
          <w:p>
            <w:pPr>
              <w:spacing w:after="0"/>
              <w:rPr>
                <w:sz w:val="20"/>
                <w:szCs w:val="20"/>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6,325</w:t>
            </w: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420" w:type="dxa"/>
            <w:vAlign w:val="bottom"/>
          </w:tcPr>
          <w:p>
            <w:pPr>
              <w:ind w:lef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520" w:type="dxa"/>
            <w:vAlign w:val="bottom"/>
          </w:tcPr>
          <w:p>
            <w:pPr>
              <w:ind w:left="340"/>
              <w:spacing w:after="0"/>
              <w:rPr>
                <w:sz w:val="20"/>
                <w:szCs w:val="20"/>
                <w:color w:val="auto"/>
              </w:rPr>
            </w:pPr>
            <w:r>
              <w:rPr>
                <w:rFonts w:ascii="Arial" w:cs="Arial" w:eastAsia="Arial" w:hAnsi="Arial"/>
                <w:sz w:val="18"/>
                <w:szCs w:val="18"/>
                <w:color w:val="auto"/>
                <w:w w:val="88"/>
              </w:rPr>
              <w:t>—</w:t>
            </w:r>
          </w:p>
        </w:tc>
        <w:tc>
          <w:tcPr>
            <w:tcW w:w="3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6,325</w:t>
            </w:r>
          </w:p>
        </w:tc>
      </w:tr>
      <w:tr>
        <w:trPr>
          <w:trHeight w:val="251"/>
        </w:trPr>
        <w:tc>
          <w:tcPr>
            <w:tcW w:w="4340" w:type="dxa"/>
            <w:vAlign w:val="bottom"/>
            <w:shd w:val="clear" w:color="auto" w:fill="C0C0C0"/>
          </w:tcPr>
          <w:p>
            <w:pPr>
              <w:ind w:left="280"/>
              <w:spacing w:after="0"/>
              <w:rPr>
                <w:sz w:val="20"/>
                <w:szCs w:val="20"/>
                <w:color w:val="auto"/>
              </w:rPr>
            </w:pPr>
            <w:r>
              <w:rPr>
                <w:rFonts w:ascii="Arial" w:cs="Arial" w:eastAsia="Arial" w:hAnsi="Arial"/>
                <w:sz w:val="18"/>
                <w:szCs w:val="18"/>
                <w:color w:val="auto"/>
              </w:rPr>
              <w:t>Church, church-related:</w:t>
            </w:r>
          </w:p>
        </w:tc>
        <w:tc>
          <w:tcPr>
            <w:tcW w:w="1900" w:type="dxa"/>
            <w:vAlign w:val="bottom"/>
            <w:shd w:val="clear" w:color="auto" w:fill="C0C0C0"/>
          </w:tcPr>
          <w:p>
            <w:pPr>
              <w:spacing w:after="0"/>
              <w:rPr>
                <w:sz w:val="21"/>
                <w:szCs w:val="21"/>
                <w:color w:val="auto"/>
              </w:rPr>
            </w:pPr>
          </w:p>
        </w:tc>
        <w:tc>
          <w:tcPr>
            <w:tcW w:w="920" w:type="dxa"/>
            <w:vAlign w:val="bottom"/>
            <w:shd w:val="clear" w:color="auto" w:fill="C0C0C0"/>
          </w:tcPr>
          <w:p>
            <w:pPr>
              <w:spacing w:after="0"/>
              <w:rPr>
                <w:sz w:val="21"/>
                <w:szCs w:val="21"/>
                <w:color w:val="auto"/>
              </w:rPr>
            </w:pPr>
          </w:p>
        </w:tc>
        <w:tc>
          <w:tcPr>
            <w:tcW w:w="44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42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520" w:type="dxa"/>
            <w:vAlign w:val="bottom"/>
            <w:shd w:val="clear" w:color="auto" w:fill="C0C0C0"/>
          </w:tcPr>
          <w:p>
            <w:pPr>
              <w:spacing w:after="0"/>
              <w:rPr>
                <w:sz w:val="21"/>
                <w:szCs w:val="21"/>
                <w:color w:val="auto"/>
              </w:rPr>
            </w:pPr>
          </w:p>
        </w:tc>
        <w:tc>
          <w:tcPr>
            <w:tcW w:w="360" w:type="dxa"/>
            <w:vAlign w:val="bottom"/>
            <w:shd w:val="clear" w:color="auto" w:fill="C0C0C0"/>
          </w:tcPr>
          <w:p>
            <w:pPr>
              <w:spacing w:after="0"/>
              <w:rPr>
                <w:sz w:val="21"/>
                <w:szCs w:val="21"/>
                <w:color w:val="auto"/>
              </w:rPr>
            </w:pPr>
          </w:p>
        </w:tc>
        <w:tc>
          <w:tcPr>
            <w:tcW w:w="520" w:type="dxa"/>
            <w:vAlign w:val="bottom"/>
            <w:shd w:val="clear" w:color="auto" w:fill="C0C0C0"/>
          </w:tcPr>
          <w:p>
            <w:pPr>
              <w:spacing w:after="0"/>
              <w:rPr>
                <w:sz w:val="21"/>
                <w:szCs w:val="21"/>
                <w:color w:val="auto"/>
              </w:rPr>
            </w:pPr>
          </w:p>
        </w:tc>
        <w:tc>
          <w:tcPr>
            <w:tcW w:w="360" w:type="dxa"/>
            <w:vAlign w:val="bottom"/>
            <w:shd w:val="clear" w:color="auto" w:fill="C0C0C0"/>
          </w:tcPr>
          <w:p>
            <w:pPr>
              <w:spacing w:after="0"/>
              <w:rPr>
                <w:sz w:val="21"/>
                <w:szCs w:val="21"/>
                <w:color w:val="auto"/>
              </w:rPr>
            </w:pPr>
          </w:p>
        </w:tc>
        <w:tc>
          <w:tcPr>
            <w:tcW w:w="76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4340" w:type="dxa"/>
            <w:vAlign w:val="bottom"/>
          </w:tcPr>
          <w:p>
            <w:pPr>
              <w:ind w:left="540"/>
              <w:spacing w:after="0"/>
              <w:rPr>
                <w:sz w:val="20"/>
                <w:szCs w:val="20"/>
                <w:color w:val="auto"/>
              </w:rPr>
            </w:pPr>
            <w:r>
              <w:rPr>
                <w:rFonts w:ascii="Arial" w:cs="Arial" w:eastAsia="Arial" w:hAnsi="Arial"/>
                <w:sz w:val="18"/>
                <w:szCs w:val="18"/>
                <w:color w:val="auto"/>
              </w:rPr>
              <w:t>Mortgage</w:t>
            </w:r>
          </w:p>
        </w:tc>
        <w:tc>
          <w:tcPr>
            <w:tcW w:w="1900" w:type="dxa"/>
            <w:vAlign w:val="bottom"/>
          </w:tcPr>
          <w:p>
            <w:pPr>
              <w:spacing w:after="0"/>
              <w:rPr>
                <w:sz w:val="20"/>
                <w:szCs w:val="20"/>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321,168</w:t>
            </w: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420" w:type="dxa"/>
            <w:vAlign w:val="bottom"/>
          </w:tcPr>
          <w:p>
            <w:pPr>
              <w:ind w:lef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520" w:type="dxa"/>
            <w:vAlign w:val="bottom"/>
          </w:tcPr>
          <w:p>
            <w:pPr>
              <w:ind w:left="340"/>
              <w:spacing w:after="0"/>
              <w:rPr>
                <w:sz w:val="20"/>
                <w:szCs w:val="20"/>
                <w:color w:val="auto"/>
              </w:rPr>
            </w:pPr>
            <w:r>
              <w:rPr>
                <w:rFonts w:ascii="Arial" w:cs="Arial" w:eastAsia="Arial" w:hAnsi="Arial"/>
                <w:sz w:val="18"/>
                <w:szCs w:val="18"/>
                <w:color w:val="auto"/>
                <w:w w:val="88"/>
              </w:rPr>
              <w:t>—</w:t>
            </w:r>
          </w:p>
        </w:tc>
        <w:tc>
          <w:tcPr>
            <w:tcW w:w="3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321,168</w:t>
            </w:r>
          </w:p>
        </w:tc>
      </w:tr>
      <w:tr>
        <w:trPr>
          <w:trHeight w:val="251"/>
        </w:trPr>
        <w:tc>
          <w:tcPr>
            <w:tcW w:w="4340" w:type="dxa"/>
            <w:vAlign w:val="bottom"/>
            <w:shd w:val="clear" w:color="auto" w:fill="C0C0C0"/>
          </w:tcPr>
          <w:p>
            <w:pPr>
              <w:ind w:left="540"/>
              <w:spacing w:after="0"/>
              <w:rPr>
                <w:sz w:val="20"/>
                <w:szCs w:val="20"/>
                <w:color w:val="auto"/>
              </w:rPr>
            </w:pPr>
            <w:r>
              <w:rPr>
                <w:rFonts w:ascii="Arial" w:cs="Arial" w:eastAsia="Arial" w:hAnsi="Arial"/>
                <w:sz w:val="18"/>
                <w:szCs w:val="18"/>
                <w:color w:val="auto"/>
              </w:rPr>
              <w:t>Construction</w:t>
            </w:r>
          </w:p>
        </w:tc>
        <w:tc>
          <w:tcPr>
            <w:tcW w:w="190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11,152</w:t>
            </w:r>
          </w:p>
        </w:tc>
        <w:tc>
          <w:tcPr>
            <w:tcW w:w="44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0C0C0"/>
          </w:tcPr>
          <w:p>
            <w:pPr>
              <w:spacing w:after="0"/>
              <w:rPr>
                <w:sz w:val="21"/>
                <w:szCs w:val="21"/>
                <w:color w:val="auto"/>
              </w:rPr>
            </w:pPr>
          </w:p>
        </w:tc>
        <w:tc>
          <w:tcPr>
            <w:tcW w:w="420" w:type="dxa"/>
            <w:vAlign w:val="bottom"/>
            <w:shd w:val="clear" w:color="auto" w:fill="C0C0C0"/>
          </w:tcPr>
          <w:p>
            <w:pPr>
              <w:ind w:lef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0C0C0"/>
          </w:tcPr>
          <w:p>
            <w:pPr>
              <w:spacing w:after="0"/>
              <w:rPr>
                <w:sz w:val="21"/>
                <w:szCs w:val="21"/>
                <w:color w:val="auto"/>
              </w:rPr>
            </w:pPr>
          </w:p>
        </w:tc>
        <w:tc>
          <w:tcPr>
            <w:tcW w:w="520" w:type="dxa"/>
            <w:vAlign w:val="bottom"/>
            <w:shd w:val="clear" w:color="auto" w:fill="C0C0C0"/>
          </w:tcPr>
          <w:p>
            <w:pPr>
              <w:ind w:left="340"/>
              <w:spacing w:after="0"/>
              <w:rPr>
                <w:sz w:val="20"/>
                <w:szCs w:val="20"/>
                <w:color w:val="auto"/>
              </w:rPr>
            </w:pPr>
            <w:r>
              <w:rPr>
                <w:rFonts w:ascii="Arial" w:cs="Arial" w:eastAsia="Arial" w:hAnsi="Arial"/>
                <w:sz w:val="18"/>
                <w:szCs w:val="18"/>
                <w:color w:val="auto"/>
                <w:w w:val="88"/>
              </w:rPr>
              <w:t>—</w:t>
            </w:r>
          </w:p>
        </w:tc>
        <w:tc>
          <w:tcPr>
            <w:tcW w:w="360" w:type="dxa"/>
            <w:vAlign w:val="bottom"/>
            <w:shd w:val="clear" w:color="auto" w:fill="C0C0C0"/>
          </w:tcPr>
          <w:p>
            <w:pPr>
              <w:spacing w:after="0"/>
              <w:rPr>
                <w:sz w:val="21"/>
                <w:szCs w:val="21"/>
                <w:color w:val="auto"/>
              </w:rPr>
            </w:pPr>
          </w:p>
        </w:tc>
        <w:tc>
          <w:tcPr>
            <w:tcW w:w="5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0C0C0"/>
          </w:tcPr>
          <w:p>
            <w:pPr>
              <w:spacing w:after="0"/>
              <w:rPr>
                <w:sz w:val="21"/>
                <w:szCs w:val="21"/>
                <w:color w:val="auto"/>
              </w:rPr>
            </w:pP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11,152</w:t>
            </w:r>
          </w:p>
        </w:tc>
        <w:tc>
          <w:tcPr>
            <w:tcW w:w="20" w:type="dxa"/>
            <w:vAlign w:val="bottom"/>
          </w:tcPr>
          <w:p>
            <w:pPr>
              <w:spacing w:after="0"/>
              <w:rPr>
                <w:sz w:val="21"/>
                <w:szCs w:val="21"/>
                <w:color w:val="auto"/>
              </w:rPr>
            </w:pPr>
          </w:p>
        </w:tc>
      </w:tr>
      <w:tr>
        <w:trPr>
          <w:trHeight w:val="235"/>
        </w:trPr>
        <w:tc>
          <w:tcPr>
            <w:tcW w:w="4340" w:type="dxa"/>
            <w:vAlign w:val="bottom"/>
          </w:tcPr>
          <w:p>
            <w:pPr>
              <w:spacing w:after="0"/>
              <w:rPr>
                <w:sz w:val="20"/>
                <w:szCs w:val="20"/>
                <w:color w:val="auto"/>
              </w:rPr>
            </w:pPr>
            <w:r>
              <w:rPr>
                <w:rFonts w:ascii="Arial" w:cs="Arial" w:eastAsia="Arial" w:hAnsi="Arial"/>
                <w:sz w:val="18"/>
                <w:szCs w:val="18"/>
                <w:color w:val="auto"/>
              </w:rPr>
              <w:t>Industrial revenue bonds</w:t>
            </w:r>
          </w:p>
        </w:tc>
        <w:tc>
          <w:tcPr>
            <w:tcW w:w="1900" w:type="dxa"/>
            <w:vAlign w:val="bottom"/>
          </w:tcPr>
          <w:p>
            <w:pPr>
              <w:spacing w:after="0"/>
              <w:rPr>
                <w:sz w:val="20"/>
                <w:szCs w:val="20"/>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6,639</w:t>
            </w: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420" w:type="dxa"/>
            <w:vAlign w:val="bottom"/>
          </w:tcPr>
          <w:p>
            <w:pPr>
              <w:ind w:lef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520" w:type="dxa"/>
            <w:vAlign w:val="bottom"/>
          </w:tcPr>
          <w:p>
            <w:pPr>
              <w:ind w:left="340"/>
              <w:spacing w:after="0"/>
              <w:rPr>
                <w:sz w:val="20"/>
                <w:szCs w:val="20"/>
                <w:color w:val="auto"/>
              </w:rPr>
            </w:pPr>
            <w:r>
              <w:rPr>
                <w:rFonts w:ascii="Arial" w:cs="Arial" w:eastAsia="Arial" w:hAnsi="Arial"/>
                <w:sz w:val="18"/>
                <w:szCs w:val="18"/>
                <w:color w:val="auto"/>
                <w:w w:val="88"/>
              </w:rPr>
              <w:t>—</w:t>
            </w:r>
          </w:p>
        </w:tc>
        <w:tc>
          <w:tcPr>
            <w:tcW w:w="3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6,639</w:t>
            </w:r>
          </w:p>
        </w:tc>
      </w:tr>
      <w:tr>
        <w:trPr>
          <w:trHeight w:val="244"/>
        </w:trPr>
        <w:tc>
          <w:tcPr>
            <w:tcW w:w="434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Other</w:t>
            </w:r>
          </w:p>
        </w:tc>
        <w:tc>
          <w:tcPr>
            <w:tcW w:w="1900" w:type="dxa"/>
            <w:vAlign w:val="bottom"/>
            <w:tcBorders>
              <w:bottom w:val="single" w:sz="8" w:color="auto"/>
            </w:tcBorders>
            <w:shd w:val="clear" w:color="auto" w:fill="C0C0C0"/>
          </w:tcPr>
          <w:p>
            <w:pPr>
              <w:spacing w:after="0"/>
              <w:rPr>
                <w:sz w:val="21"/>
                <w:szCs w:val="21"/>
                <w:color w:val="auto"/>
              </w:rPr>
            </w:pPr>
          </w:p>
        </w:tc>
        <w:tc>
          <w:tcPr>
            <w:tcW w:w="92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24</w:t>
            </w:r>
          </w:p>
        </w:tc>
        <w:tc>
          <w:tcPr>
            <w:tcW w:w="440" w:type="dxa"/>
            <w:vAlign w:val="bottom"/>
            <w:tcBorders>
              <w:bottom w:val="single" w:sz="8" w:color="auto"/>
            </w:tcBorders>
            <w:shd w:val="clear" w:color="auto" w:fill="C0C0C0"/>
          </w:tcPr>
          <w:p>
            <w:pPr>
              <w:spacing w:after="0"/>
              <w:rPr>
                <w:sz w:val="21"/>
                <w:szCs w:val="21"/>
                <w:color w:val="auto"/>
              </w:rPr>
            </w:pPr>
          </w:p>
        </w:tc>
        <w:tc>
          <w:tcPr>
            <w:tcW w:w="30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12</w:t>
            </w:r>
          </w:p>
        </w:tc>
        <w:tc>
          <w:tcPr>
            <w:tcW w:w="340" w:type="dxa"/>
            <w:vAlign w:val="bottom"/>
            <w:tcBorders>
              <w:bottom w:val="single" w:sz="8" w:color="auto"/>
            </w:tcBorders>
            <w:shd w:val="clear" w:color="auto" w:fill="C0C0C0"/>
          </w:tcPr>
          <w:p>
            <w:pPr>
              <w:spacing w:after="0"/>
              <w:rPr>
                <w:sz w:val="21"/>
                <w:szCs w:val="21"/>
                <w:color w:val="auto"/>
              </w:rPr>
            </w:pPr>
          </w:p>
        </w:tc>
        <w:tc>
          <w:tcPr>
            <w:tcW w:w="420" w:type="dxa"/>
            <w:vAlign w:val="bottom"/>
            <w:tcBorders>
              <w:bottom w:val="single" w:sz="8" w:color="auto"/>
            </w:tcBorders>
            <w:shd w:val="clear" w:color="auto" w:fill="C0C0C0"/>
          </w:tcPr>
          <w:p>
            <w:pPr>
              <w:ind w:left="1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0C0C0"/>
          </w:tcPr>
          <w:p>
            <w:pPr>
              <w:spacing w:after="0"/>
              <w:rPr>
                <w:sz w:val="21"/>
                <w:szCs w:val="21"/>
                <w:color w:val="auto"/>
              </w:rPr>
            </w:pPr>
          </w:p>
        </w:tc>
        <w:tc>
          <w:tcPr>
            <w:tcW w:w="520" w:type="dxa"/>
            <w:vAlign w:val="bottom"/>
            <w:tcBorders>
              <w:bottom w:val="single" w:sz="8" w:color="auto"/>
            </w:tcBorders>
            <w:shd w:val="clear" w:color="auto" w:fill="C0C0C0"/>
          </w:tcPr>
          <w:p>
            <w:pPr>
              <w:ind w:left="340"/>
              <w:spacing w:after="0"/>
              <w:rPr>
                <w:sz w:val="20"/>
                <w:szCs w:val="20"/>
                <w:color w:val="auto"/>
              </w:rPr>
            </w:pPr>
            <w:r>
              <w:rPr>
                <w:rFonts w:ascii="Arial" w:cs="Arial" w:eastAsia="Arial" w:hAnsi="Arial"/>
                <w:sz w:val="18"/>
                <w:szCs w:val="18"/>
                <w:color w:val="auto"/>
                <w:w w:val="88"/>
              </w:rPr>
              <w:t>—</w:t>
            </w:r>
          </w:p>
        </w:tc>
        <w:tc>
          <w:tcPr>
            <w:tcW w:w="360" w:type="dxa"/>
            <w:vAlign w:val="bottom"/>
            <w:tcBorders>
              <w:bottom w:val="single" w:sz="8" w:color="auto"/>
            </w:tcBorders>
            <w:shd w:val="clear" w:color="auto" w:fill="C0C0C0"/>
          </w:tcPr>
          <w:p>
            <w:pPr>
              <w:spacing w:after="0"/>
              <w:rPr>
                <w:sz w:val="21"/>
                <w:szCs w:val="21"/>
                <w:color w:val="auto"/>
              </w:rPr>
            </w:pPr>
          </w:p>
        </w:tc>
        <w:tc>
          <w:tcPr>
            <w:tcW w:w="5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0C0C0"/>
          </w:tcPr>
          <w:p>
            <w:pPr>
              <w:spacing w:after="0"/>
              <w:rPr>
                <w:sz w:val="21"/>
                <w:szCs w:val="21"/>
                <w:color w:val="auto"/>
              </w:rPr>
            </w:pPr>
          </w:p>
        </w:tc>
        <w:tc>
          <w:tcPr>
            <w:tcW w:w="7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21"/>
                <w:szCs w:val="21"/>
                <w:color w:val="auto"/>
              </w:rPr>
            </w:pPr>
          </w:p>
        </w:tc>
      </w:tr>
      <w:tr>
        <w:trPr>
          <w:trHeight w:val="237"/>
        </w:trPr>
        <w:tc>
          <w:tcPr>
            <w:tcW w:w="4340" w:type="dxa"/>
            <w:vAlign w:val="bottom"/>
          </w:tcPr>
          <w:p>
            <w:pPr>
              <w:spacing w:after="0"/>
              <w:rPr>
                <w:sz w:val="20"/>
                <w:szCs w:val="20"/>
                <w:color w:val="auto"/>
              </w:rPr>
            </w:pPr>
            <w:r>
              <w:rPr>
                <w:rFonts w:ascii="Arial" w:cs="Arial" w:eastAsia="Arial" w:hAnsi="Arial"/>
                <w:sz w:val="18"/>
                <w:szCs w:val="18"/>
                <w:color w:val="auto"/>
              </w:rPr>
              <w:t>Total</w:t>
            </w:r>
          </w:p>
        </w:tc>
        <w:tc>
          <w:tcPr>
            <w:tcW w:w="19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664,609</w:t>
            </w:r>
          </w:p>
        </w:tc>
        <w:tc>
          <w:tcPr>
            <w:tcW w:w="440" w:type="dxa"/>
            <w:vAlign w:val="bottom"/>
          </w:tcPr>
          <w:p>
            <w:pPr>
              <w:jc w:val="center"/>
              <w:ind w:right="12"/>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20"/>
                <w:szCs w:val="20"/>
                <w:color w:val="auto"/>
              </w:rPr>
            </w:pPr>
            <w:r>
              <w:rPr>
                <w:rFonts w:ascii="Arial" w:cs="Arial" w:eastAsia="Arial" w:hAnsi="Arial"/>
                <w:sz w:val="18"/>
                <w:szCs w:val="18"/>
                <w:color w:val="auto"/>
              </w:rPr>
              <w:t>12</w:t>
            </w:r>
          </w:p>
        </w:tc>
        <w:tc>
          <w:tcPr>
            <w:tcW w:w="3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tcPr>
          <w:p>
            <w:pPr>
              <w:ind w:left="120"/>
              <w:spacing w:after="0"/>
              <w:rPr>
                <w:sz w:val="20"/>
                <w:szCs w:val="20"/>
                <w:color w:val="auto"/>
              </w:rPr>
            </w:pPr>
            <w:r>
              <w:rPr>
                <w:rFonts w:ascii="Arial" w:cs="Arial" w:eastAsia="Arial" w:hAnsi="Arial"/>
                <w:sz w:val="18"/>
                <w:szCs w:val="18"/>
                <w:color w:val="auto"/>
              </w:rPr>
              <w:t>—</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520" w:type="dxa"/>
            <w:vAlign w:val="bottom"/>
          </w:tcPr>
          <w:p>
            <w:pPr>
              <w:ind w:left="340"/>
              <w:spacing w:after="0"/>
              <w:rPr>
                <w:sz w:val="20"/>
                <w:szCs w:val="20"/>
                <w:color w:val="auto"/>
              </w:rPr>
            </w:pPr>
            <w:r>
              <w:rPr>
                <w:rFonts w:ascii="Arial" w:cs="Arial" w:eastAsia="Arial" w:hAnsi="Arial"/>
                <w:sz w:val="18"/>
                <w:szCs w:val="18"/>
                <w:color w:val="auto"/>
                <w:w w:val="88"/>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245</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664,866</w:t>
            </w:r>
          </w:p>
        </w:tc>
      </w:tr>
      <w:tr>
        <w:trPr>
          <w:trHeight w:val="430"/>
        </w:trPr>
        <w:tc>
          <w:tcPr>
            <w:tcW w:w="4340" w:type="dxa"/>
            <w:vAlign w:val="bottom"/>
            <w:tcBorders>
              <w:top w:val="single" w:sz="8" w:color="auto"/>
            </w:tcBorders>
          </w:tcPr>
          <w:p>
            <w:pPr>
              <w:spacing w:after="0"/>
              <w:rPr>
                <w:sz w:val="24"/>
                <w:szCs w:val="24"/>
                <w:color w:val="auto"/>
              </w:rPr>
            </w:pPr>
          </w:p>
        </w:tc>
        <w:tc>
          <w:tcPr>
            <w:tcW w:w="1900" w:type="dxa"/>
            <w:vAlign w:val="bottom"/>
            <w:tcBorders>
              <w:top w:val="single" w:sz="8" w:color="auto"/>
            </w:tcBorders>
          </w:tcPr>
          <w:p>
            <w:pPr>
              <w:jc w:val="right"/>
              <w:ind w:right="292"/>
              <w:spacing w:after="0"/>
              <w:rPr>
                <w:sz w:val="20"/>
                <w:szCs w:val="20"/>
                <w:color w:val="auto"/>
              </w:rPr>
            </w:pPr>
            <w:r>
              <w:rPr>
                <w:rFonts w:ascii="Arial" w:cs="Arial" w:eastAsia="Arial" w:hAnsi="Arial"/>
                <w:sz w:val="18"/>
                <w:szCs w:val="18"/>
                <w:color w:val="auto"/>
              </w:rPr>
              <w:t>-10-</w:t>
            </w:r>
          </w:p>
        </w:tc>
        <w:tc>
          <w:tcPr>
            <w:tcW w:w="92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4340" w:type="dxa"/>
            <w:vAlign w:val="bottom"/>
            <w:tcBorders>
              <w:bottom w:val="single" w:sz="8" w:color="808080"/>
            </w:tcBorders>
          </w:tcPr>
          <w:p>
            <w:pPr>
              <w:spacing w:after="0"/>
              <w:rPr>
                <w:sz w:val="19"/>
                <w:szCs w:val="19"/>
                <w:color w:val="auto"/>
              </w:rPr>
            </w:pPr>
          </w:p>
        </w:tc>
        <w:tc>
          <w:tcPr>
            <w:tcW w:w="190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31" w:right="21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The following table presents the credit exposure of the loan portfolio by internally credit grade as of June 30, 2017 and December 31, 2016:</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1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060" w:type="dxa"/>
            <w:vAlign w:val="bottom"/>
          </w:tcPr>
          <w:p>
            <w:pPr>
              <w:jc w:val="center"/>
              <w:ind w:right="152"/>
              <w:spacing w:after="0"/>
              <w:rPr>
                <w:sz w:val="20"/>
                <w:szCs w:val="20"/>
                <w:color w:val="auto"/>
              </w:rPr>
            </w:pPr>
            <w:r>
              <w:rPr>
                <w:rFonts w:ascii="Arial" w:cs="Arial" w:eastAsia="Arial" w:hAnsi="Arial"/>
                <w:sz w:val="18"/>
                <w:szCs w:val="18"/>
                <w:b w:val="1"/>
                <w:bCs w:val="1"/>
                <w:color w:val="auto"/>
                <w:w w:val="86"/>
              </w:rPr>
              <w:t>Loans</w:t>
            </w:r>
          </w:p>
        </w:tc>
        <w:tc>
          <w:tcPr>
            <w:tcW w:w="260" w:type="dxa"/>
            <w:vAlign w:val="bottom"/>
          </w:tcPr>
          <w:p>
            <w:pPr>
              <w:spacing w:after="0"/>
              <w:rPr>
                <w:sz w:val="19"/>
                <w:szCs w:val="19"/>
                <w:color w:val="auto"/>
              </w:rPr>
            </w:pPr>
          </w:p>
        </w:tc>
        <w:tc>
          <w:tcPr>
            <w:tcW w:w="1280" w:type="dxa"/>
            <w:vAlign w:val="bottom"/>
          </w:tcPr>
          <w:p>
            <w:pPr>
              <w:jc w:val="center"/>
              <w:ind w:right="172"/>
              <w:spacing w:after="0"/>
              <w:rPr>
                <w:sz w:val="20"/>
                <w:szCs w:val="20"/>
                <w:color w:val="auto"/>
              </w:rPr>
            </w:pPr>
            <w:r>
              <w:rPr>
                <w:rFonts w:ascii="Arial" w:cs="Arial" w:eastAsia="Arial" w:hAnsi="Arial"/>
                <w:sz w:val="18"/>
                <w:szCs w:val="18"/>
                <w:b w:val="1"/>
                <w:bCs w:val="1"/>
                <w:color w:val="auto"/>
                <w:w w:val="89"/>
              </w:rPr>
              <w:t>Performing</w:t>
            </w:r>
          </w:p>
        </w:tc>
        <w:tc>
          <w:tcPr>
            <w:tcW w:w="1440" w:type="dxa"/>
            <w:vAlign w:val="bottom"/>
            <w:gridSpan w:val="2"/>
          </w:tcPr>
          <w:p>
            <w:pPr>
              <w:ind w:left="140"/>
              <w:spacing w:after="0"/>
              <w:rPr>
                <w:sz w:val="20"/>
                <w:szCs w:val="20"/>
                <w:color w:val="auto"/>
              </w:rPr>
            </w:pPr>
            <w:r>
              <w:rPr>
                <w:rFonts w:ascii="Arial" w:cs="Arial" w:eastAsia="Arial" w:hAnsi="Arial"/>
                <w:sz w:val="18"/>
                <w:szCs w:val="18"/>
                <w:b w:val="1"/>
                <w:bCs w:val="1"/>
                <w:color w:val="auto"/>
                <w:w w:val="98"/>
              </w:rPr>
              <w:t>Nonperforming</w:t>
            </w: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43"/>
        </w:trPr>
        <w:tc>
          <w:tcPr>
            <w:tcW w:w="410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1060" w:type="dxa"/>
            <w:vAlign w:val="bottom"/>
          </w:tcPr>
          <w:p>
            <w:pPr>
              <w:jc w:val="center"/>
              <w:ind w:right="172"/>
              <w:spacing w:after="0"/>
              <w:rPr>
                <w:sz w:val="20"/>
                <w:szCs w:val="20"/>
                <w:color w:val="auto"/>
              </w:rPr>
            </w:pPr>
            <w:r>
              <w:rPr>
                <w:rFonts w:ascii="Arial" w:cs="Arial" w:eastAsia="Arial" w:hAnsi="Arial"/>
                <w:sz w:val="18"/>
                <w:szCs w:val="18"/>
                <w:b w:val="1"/>
                <w:bCs w:val="1"/>
                <w:color w:val="auto"/>
                <w:w w:val="87"/>
              </w:rPr>
              <w:t>Subject to</w:t>
            </w:r>
          </w:p>
        </w:tc>
        <w:tc>
          <w:tcPr>
            <w:tcW w:w="1540" w:type="dxa"/>
            <w:vAlign w:val="bottom"/>
            <w:gridSpan w:val="2"/>
          </w:tcPr>
          <w:p>
            <w:pPr>
              <w:ind w:left="140"/>
              <w:spacing w:after="0"/>
              <w:rPr>
                <w:sz w:val="20"/>
                <w:szCs w:val="20"/>
                <w:color w:val="auto"/>
              </w:rPr>
            </w:pPr>
            <w:r>
              <w:rPr>
                <w:rFonts w:ascii="Arial" w:cs="Arial" w:eastAsia="Arial" w:hAnsi="Arial"/>
                <w:sz w:val="18"/>
                <w:szCs w:val="18"/>
                <w:b w:val="1"/>
                <w:bCs w:val="1"/>
                <w:color w:val="auto"/>
                <w:w w:val="95"/>
              </w:rPr>
              <w:t>Loans Subject to</w:t>
            </w:r>
          </w:p>
        </w:tc>
        <w:tc>
          <w:tcPr>
            <w:tcW w:w="14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Loans Subject</w:t>
            </w:r>
          </w:p>
        </w:tc>
        <w:tc>
          <w:tcPr>
            <w:tcW w:w="34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43"/>
        </w:trPr>
        <w:tc>
          <w:tcPr>
            <w:tcW w:w="410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1060" w:type="dxa"/>
            <w:vAlign w:val="bottom"/>
          </w:tcPr>
          <w:p>
            <w:pPr>
              <w:jc w:val="center"/>
              <w:ind w:right="152"/>
              <w:spacing w:after="0"/>
              <w:rPr>
                <w:sz w:val="20"/>
                <w:szCs w:val="20"/>
                <w:color w:val="auto"/>
              </w:rPr>
            </w:pPr>
            <w:r>
              <w:rPr>
                <w:rFonts w:ascii="Arial" w:cs="Arial" w:eastAsia="Arial" w:hAnsi="Arial"/>
                <w:sz w:val="18"/>
                <w:szCs w:val="18"/>
                <w:b w:val="1"/>
                <w:bCs w:val="1"/>
                <w:color w:val="auto"/>
                <w:w w:val="93"/>
              </w:rPr>
              <w:t>Normal</w:t>
            </w:r>
          </w:p>
        </w:tc>
        <w:tc>
          <w:tcPr>
            <w:tcW w:w="260" w:type="dxa"/>
            <w:vAlign w:val="bottom"/>
          </w:tcPr>
          <w:p>
            <w:pPr>
              <w:spacing w:after="0"/>
              <w:rPr>
                <w:sz w:val="21"/>
                <w:szCs w:val="21"/>
                <w:color w:val="auto"/>
              </w:rPr>
            </w:pPr>
          </w:p>
        </w:tc>
        <w:tc>
          <w:tcPr>
            <w:tcW w:w="1280" w:type="dxa"/>
            <w:vAlign w:val="bottom"/>
          </w:tcPr>
          <w:p>
            <w:pPr>
              <w:jc w:val="center"/>
              <w:ind w:right="172"/>
              <w:spacing w:after="0"/>
              <w:rPr>
                <w:sz w:val="20"/>
                <w:szCs w:val="20"/>
                <w:color w:val="auto"/>
              </w:rPr>
            </w:pPr>
            <w:r>
              <w:rPr>
                <w:rFonts w:ascii="Arial" w:cs="Arial" w:eastAsia="Arial" w:hAnsi="Arial"/>
                <w:sz w:val="18"/>
                <w:szCs w:val="18"/>
                <w:b w:val="1"/>
                <w:bCs w:val="1"/>
                <w:color w:val="auto"/>
                <w:w w:val="85"/>
              </w:rPr>
              <w:t>Special</w:t>
            </w:r>
          </w:p>
        </w:tc>
        <w:tc>
          <w:tcPr>
            <w:tcW w:w="240" w:type="dxa"/>
            <w:vAlign w:val="bottom"/>
          </w:tcPr>
          <w:p>
            <w:pPr>
              <w:spacing w:after="0"/>
              <w:rPr>
                <w:sz w:val="21"/>
                <w:szCs w:val="21"/>
                <w:color w:val="auto"/>
              </w:rPr>
            </w:pPr>
          </w:p>
        </w:tc>
        <w:tc>
          <w:tcPr>
            <w:tcW w:w="1200" w:type="dxa"/>
            <w:vAlign w:val="bottom"/>
          </w:tcPr>
          <w:p>
            <w:pPr>
              <w:jc w:val="center"/>
              <w:ind w:right="152"/>
              <w:spacing w:after="0"/>
              <w:rPr>
                <w:sz w:val="20"/>
                <w:szCs w:val="20"/>
                <w:color w:val="auto"/>
              </w:rPr>
            </w:pPr>
            <w:r>
              <w:rPr>
                <w:rFonts w:ascii="Arial" w:cs="Arial" w:eastAsia="Arial" w:hAnsi="Arial"/>
                <w:sz w:val="18"/>
                <w:szCs w:val="18"/>
                <w:b w:val="1"/>
                <w:bCs w:val="1"/>
                <w:color w:val="auto"/>
                <w:w w:val="84"/>
              </w:rPr>
              <w:t>to Special</w:t>
            </w:r>
          </w:p>
        </w:tc>
        <w:tc>
          <w:tcPr>
            <w:tcW w:w="34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326"/>
        </w:trPr>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3320" w:type="dxa"/>
            <w:vAlign w:val="bottom"/>
            <w:tcBorders>
              <w:bottom w:val="single" w:sz="8" w:color="auto"/>
            </w:tcBorders>
            <w:gridSpan w:val="2"/>
          </w:tcPr>
          <w:p>
            <w:pPr>
              <w:jc w:val="center"/>
              <w:ind w:left="1932"/>
              <w:spacing w:after="0" w:line="326" w:lineRule="exact"/>
              <w:rPr>
                <w:sz w:val="20"/>
                <w:szCs w:val="20"/>
                <w:color w:val="auto"/>
              </w:rPr>
            </w:pPr>
            <w:r>
              <w:rPr>
                <w:rFonts w:ascii="Arial" w:cs="Arial" w:eastAsia="Arial" w:hAnsi="Arial"/>
                <w:sz w:val="18"/>
                <w:szCs w:val="18"/>
                <w:b w:val="1"/>
                <w:bCs w:val="1"/>
                <w:color w:val="auto"/>
                <w:w w:val="90"/>
              </w:rPr>
              <w:t>Monitoring</w:t>
            </w:r>
            <w:r>
              <w:rPr>
                <w:rFonts w:ascii="Arial" w:cs="Arial" w:eastAsia="Arial" w:hAnsi="Arial"/>
                <w:sz w:val="29"/>
                <w:szCs w:val="29"/>
                <w:b w:val="1"/>
                <w:bCs w:val="1"/>
                <w:color w:val="auto"/>
                <w:w w:val="90"/>
                <w:vertAlign w:val="superscript"/>
              </w:rPr>
              <w:t>1</w:t>
            </w:r>
          </w:p>
        </w:tc>
        <w:tc>
          <w:tcPr>
            <w:tcW w:w="2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center"/>
              <w:ind w:right="172"/>
              <w:spacing w:after="0" w:line="326" w:lineRule="exact"/>
              <w:rPr>
                <w:sz w:val="20"/>
                <w:szCs w:val="20"/>
                <w:color w:val="auto"/>
              </w:rPr>
            </w:pPr>
            <w:r>
              <w:rPr>
                <w:rFonts w:ascii="Arial" w:cs="Arial" w:eastAsia="Arial" w:hAnsi="Arial"/>
                <w:sz w:val="18"/>
                <w:szCs w:val="18"/>
                <w:b w:val="1"/>
                <w:bCs w:val="1"/>
                <w:color w:val="auto"/>
                <w:w w:val="90"/>
              </w:rPr>
              <w:t>Monitoring</w:t>
            </w:r>
            <w:r>
              <w:rPr>
                <w:rFonts w:ascii="Arial" w:cs="Arial" w:eastAsia="Arial" w:hAnsi="Arial"/>
                <w:sz w:val="29"/>
                <w:szCs w:val="29"/>
                <w:b w:val="1"/>
                <w:bCs w:val="1"/>
                <w:color w:val="auto"/>
                <w:w w:val="90"/>
                <w:vertAlign w:val="superscript"/>
              </w:rPr>
              <w:t>2</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center"/>
              <w:ind w:right="152"/>
              <w:spacing w:after="0" w:line="326" w:lineRule="exact"/>
              <w:rPr>
                <w:sz w:val="20"/>
                <w:szCs w:val="20"/>
                <w:color w:val="auto"/>
              </w:rPr>
            </w:pPr>
            <w:r>
              <w:rPr>
                <w:rFonts w:ascii="Arial" w:cs="Arial" w:eastAsia="Arial" w:hAnsi="Arial"/>
                <w:sz w:val="18"/>
                <w:szCs w:val="18"/>
                <w:b w:val="1"/>
                <w:bCs w:val="1"/>
                <w:color w:val="auto"/>
                <w:w w:val="88"/>
              </w:rPr>
              <w:t>Monitoring</w:t>
            </w:r>
            <w:r>
              <w:rPr>
                <w:rFonts w:ascii="Arial" w:cs="Arial" w:eastAsia="Arial" w:hAnsi="Arial"/>
                <w:sz w:val="29"/>
                <w:szCs w:val="29"/>
                <w:b w:val="1"/>
                <w:bCs w:val="1"/>
                <w:color w:val="auto"/>
                <w:w w:val="88"/>
                <w:vertAlign w:val="superscript"/>
              </w:rPr>
              <w:t>2</w:t>
            </w:r>
          </w:p>
        </w:tc>
        <w:tc>
          <w:tcPr>
            <w:tcW w:w="102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w w:val="85"/>
              </w:rPr>
              <w:t>Total Loans</w:t>
            </w:r>
          </w:p>
        </w:tc>
      </w:tr>
      <w:tr>
        <w:trPr>
          <w:trHeight w:val="237"/>
        </w:trPr>
        <w:tc>
          <w:tcPr>
            <w:tcW w:w="4100" w:type="dxa"/>
            <w:vAlign w:val="bottom"/>
            <w:shd w:val="clear" w:color="auto" w:fill="C0C0C0"/>
          </w:tcPr>
          <w:p>
            <w:pPr>
              <w:spacing w:after="0"/>
              <w:rPr>
                <w:sz w:val="20"/>
                <w:szCs w:val="20"/>
                <w:color w:val="auto"/>
              </w:rPr>
            </w:pPr>
            <w:r>
              <w:rPr>
                <w:rFonts w:ascii="Arial" w:cs="Arial" w:eastAsia="Arial" w:hAnsi="Arial"/>
                <w:sz w:val="18"/>
                <w:szCs w:val="18"/>
                <w:i w:val="1"/>
                <w:iCs w:val="1"/>
                <w:color w:val="auto"/>
              </w:rPr>
              <w:t>June 30, 2017</w:t>
            </w:r>
          </w:p>
        </w:tc>
        <w:tc>
          <w:tcPr>
            <w:tcW w:w="2260" w:type="dxa"/>
            <w:vAlign w:val="bottom"/>
            <w:shd w:val="clear" w:color="auto" w:fill="C0C0C0"/>
          </w:tcPr>
          <w:p>
            <w:pPr>
              <w:spacing w:after="0"/>
              <w:rPr>
                <w:sz w:val="20"/>
                <w:szCs w:val="20"/>
                <w:color w:val="auto"/>
              </w:rPr>
            </w:pPr>
          </w:p>
        </w:tc>
        <w:tc>
          <w:tcPr>
            <w:tcW w:w="106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1280" w:type="dxa"/>
            <w:vAlign w:val="bottom"/>
            <w:shd w:val="clear" w:color="auto" w:fill="C0C0C0"/>
          </w:tcPr>
          <w:p>
            <w:pPr>
              <w:spacing w:after="0"/>
              <w:rPr>
                <w:sz w:val="20"/>
                <w:szCs w:val="20"/>
                <w:color w:val="auto"/>
              </w:rPr>
            </w:pPr>
          </w:p>
        </w:tc>
        <w:tc>
          <w:tcPr>
            <w:tcW w:w="240" w:type="dxa"/>
            <w:vAlign w:val="bottom"/>
            <w:shd w:val="clear" w:color="auto" w:fill="C0C0C0"/>
          </w:tcPr>
          <w:p>
            <w:pPr>
              <w:spacing w:after="0"/>
              <w:rPr>
                <w:sz w:val="20"/>
                <w:szCs w:val="20"/>
                <w:color w:val="auto"/>
              </w:rPr>
            </w:pPr>
          </w:p>
        </w:tc>
        <w:tc>
          <w:tcPr>
            <w:tcW w:w="1200" w:type="dxa"/>
            <w:vAlign w:val="bottom"/>
            <w:shd w:val="clear" w:color="auto" w:fill="C0C0C0"/>
          </w:tcPr>
          <w:p>
            <w:pPr>
              <w:spacing w:after="0"/>
              <w:rPr>
                <w:sz w:val="20"/>
                <w:szCs w:val="20"/>
                <w:color w:val="auto"/>
              </w:rPr>
            </w:pPr>
          </w:p>
        </w:tc>
        <w:tc>
          <w:tcPr>
            <w:tcW w:w="340" w:type="dxa"/>
            <w:vAlign w:val="bottom"/>
            <w:shd w:val="clear" w:color="auto" w:fill="C0C0C0"/>
          </w:tcPr>
          <w:p>
            <w:pPr>
              <w:spacing w:after="0"/>
              <w:rPr>
                <w:sz w:val="20"/>
                <w:szCs w:val="20"/>
                <w:color w:val="auto"/>
              </w:rPr>
            </w:pPr>
          </w:p>
        </w:tc>
        <w:tc>
          <w:tcPr>
            <w:tcW w:w="680" w:type="dxa"/>
            <w:vAlign w:val="bottom"/>
            <w:shd w:val="clear" w:color="auto" w:fill="C0C0C0"/>
          </w:tcPr>
          <w:p>
            <w:pPr>
              <w:spacing w:after="0"/>
              <w:rPr>
                <w:sz w:val="20"/>
                <w:szCs w:val="20"/>
                <w:color w:val="auto"/>
              </w:rPr>
            </w:pPr>
          </w:p>
        </w:tc>
      </w:tr>
      <w:tr>
        <w:trPr>
          <w:trHeight w:val="235"/>
        </w:trPr>
        <w:tc>
          <w:tcPr>
            <w:tcW w:w="4100" w:type="dxa"/>
            <w:vAlign w:val="bottom"/>
          </w:tcPr>
          <w:p>
            <w:pPr>
              <w:spacing w:after="0"/>
              <w:rPr>
                <w:sz w:val="20"/>
                <w:szCs w:val="20"/>
                <w:color w:val="auto"/>
              </w:rPr>
            </w:pPr>
            <w:r>
              <w:rPr>
                <w:rFonts w:ascii="Arial" w:cs="Arial" w:eastAsia="Arial" w:hAnsi="Arial"/>
                <w:sz w:val="18"/>
                <w:szCs w:val="18"/>
                <w:color w:val="auto"/>
              </w:rPr>
              <w:t>Commercial and industrial</w:t>
            </w:r>
          </w:p>
        </w:tc>
        <w:tc>
          <w:tcPr>
            <w:tcW w:w="22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223,968</w:t>
            </w:r>
          </w:p>
        </w:tc>
        <w:tc>
          <w:tcPr>
            <w:tcW w:w="260" w:type="dxa"/>
            <w:vAlign w:val="bottom"/>
          </w:tcPr>
          <w:p>
            <w:pPr>
              <w:ind w:left="14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1,659</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40" w:type="dxa"/>
            <w:vAlign w:val="bottom"/>
          </w:tcPr>
          <w:p>
            <w:pPr>
              <w:ind w:left="1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225,627</w:t>
            </w:r>
          </w:p>
        </w:tc>
      </w:tr>
      <w:tr>
        <w:trPr>
          <w:trHeight w:val="251"/>
        </w:trPr>
        <w:tc>
          <w:tcPr>
            <w:tcW w:w="4100" w:type="dxa"/>
            <w:vAlign w:val="bottom"/>
            <w:shd w:val="clear" w:color="auto" w:fill="C0C0C0"/>
          </w:tcPr>
          <w:p>
            <w:pPr>
              <w:spacing w:after="0"/>
              <w:rPr>
                <w:sz w:val="20"/>
                <w:szCs w:val="20"/>
                <w:color w:val="auto"/>
              </w:rPr>
            </w:pPr>
            <w:r>
              <w:rPr>
                <w:rFonts w:ascii="Arial" w:cs="Arial" w:eastAsia="Arial" w:hAnsi="Arial"/>
                <w:sz w:val="18"/>
                <w:szCs w:val="18"/>
                <w:color w:val="auto"/>
              </w:rPr>
              <w:t>Real estate</w:t>
            </w:r>
          </w:p>
        </w:tc>
        <w:tc>
          <w:tcPr>
            <w:tcW w:w="2260" w:type="dxa"/>
            <w:vAlign w:val="bottom"/>
            <w:shd w:val="clear" w:color="auto" w:fill="C0C0C0"/>
          </w:tcPr>
          <w:p>
            <w:pPr>
              <w:spacing w:after="0"/>
              <w:rPr>
                <w:sz w:val="21"/>
                <w:szCs w:val="21"/>
                <w:color w:val="auto"/>
              </w:rPr>
            </w:pPr>
          </w:p>
        </w:tc>
        <w:tc>
          <w:tcPr>
            <w:tcW w:w="10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28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120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r>
      <w:tr>
        <w:trPr>
          <w:trHeight w:val="235"/>
        </w:trPr>
        <w:tc>
          <w:tcPr>
            <w:tcW w:w="4100" w:type="dxa"/>
            <w:vAlign w:val="bottom"/>
          </w:tcPr>
          <w:p>
            <w:pPr>
              <w:ind w:left="280"/>
              <w:spacing w:after="0"/>
              <w:rPr>
                <w:sz w:val="20"/>
                <w:szCs w:val="20"/>
                <w:color w:val="auto"/>
              </w:rPr>
            </w:pPr>
            <w:r>
              <w:rPr>
                <w:rFonts w:ascii="Arial" w:cs="Arial" w:eastAsia="Arial" w:hAnsi="Arial"/>
                <w:sz w:val="18"/>
                <w:szCs w:val="18"/>
                <w:color w:val="auto"/>
              </w:rPr>
              <w:t>Commercial:</w:t>
            </w:r>
          </w:p>
        </w:tc>
        <w:tc>
          <w:tcPr>
            <w:tcW w:w="2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51"/>
        </w:trPr>
        <w:tc>
          <w:tcPr>
            <w:tcW w:w="4100" w:type="dxa"/>
            <w:vAlign w:val="bottom"/>
            <w:shd w:val="clear" w:color="auto" w:fill="C0C0C0"/>
          </w:tcPr>
          <w:p>
            <w:pPr>
              <w:ind w:left="540"/>
              <w:spacing w:after="0"/>
              <w:rPr>
                <w:sz w:val="20"/>
                <w:szCs w:val="20"/>
                <w:color w:val="auto"/>
              </w:rPr>
            </w:pPr>
            <w:r>
              <w:rPr>
                <w:rFonts w:ascii="Arial" w:cs="Arial" w:eastAsia="Arial" w:hAnsi="Arial"/>
                <w:sz w:val="18"/>
                <w:szCs w:val="18"/>
                <w:color w:val="auto"/>
              </w:rPr>
              <w:t>Mortgage</w:t>
            </w:r>
          </w:p>
        </w:tc>
        <w:tc>
          <w:tcPr>
            <w:tcW w:w="2260" w:type="dxa"/>
            <w:vAlign w:val="bottom"/>
            <w:shd w:val="clear" w:color="auto" w:fill="C0C0C0"/>
          </w:tcPr>
          <w:p>
            <w:pPr>
              <w:spacing w:after="0"/>
              <w:rPr>
                <w:sz w:val="21"/>
                <w:szCs w:val="21"/>
                <w:color w:val="auto"/>
              </w:rPr>
            </w:pPr>
          </w:p>
        </w:tc>
        <w:tc>
          <w:tcPr>
            <w:tcW w:w="10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93,422</w:t>
            </w:r>
          </w:p>
        </w:tc>
        <w:tc>
          <w:tcPr>
            <w:tcW w:w="260" w:type="dxa"/>
            <w:vAlign w:val="bottom"/>
            <w:shd w:val="clear" w:color="auto" w:fill="C0C0C0"/>
          </w:tcPr>
          <w:p>
            <w:pPr>
              <w:spacing w:after="0"/>
              <w:rPr>
                <w:sz w:val="21"/>
                <w:szCs w:val="21"/>
                <w:color w:val="auto"/>
              </w:rPr>
            </w:pPr>
          </w:p>
        </w:tc>
        <w:tc>
          <w:tcPr>
            <w:tcW w:w="12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726</w:t>
            </w:r>
          </w:p>
        </w:tc>
        <w:tc>
          <w:tcPr>
            <w:tcW w:w="240" w:type="dxa"/>
            <w:vAlign w:val="bottom"/>
            <w:shd w:val="clear" w:color="auto" w:fill="C0C0C0"/>
          </w:tcPr>
          <w:p>
            <w:pPr>
              <w:spacing w:after="0"/>
              <w:rPr>
                <w:sz w:val="21"/>
                <w:szCs w:val="21"/>
                <w:color w:val="auto"/>
              </w:rPr>
            </w:pPr>
          </w:p>
        </w:tc>
        <w:tc>
          <w:tcPr>
            <w:tcW w:w="12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219</w:t>
            </w:r>
          </w:p>
        </w:tc>
        <w:tc>
          <w:tcPr>
            <w:tcW w:w="340" w:type="dxa"/>
            <w:vAlign w:val="bottom"/>
            <w:shd w:val="clear" w:color="auto" w:fill="C0C0C0"/>
          </w:tcPr>
          <w:p>
            <w:pPr>
              <w:spacing w:after="0"/>
              <w:rPr>
                <w:sz w:val="21"/>
                <w:szCs w:val="21"/>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94,367</w:t>
            </w:r>
          </w:p>
        </w:tc>
      </w:tr>
      <w:tr>
        <w:trPr>
          <w:trHeight w:val="235"/>
        </w:trPr>
        <w:tc>
          <w:tcPr>
            <w:tcW w:w="4100" w:type="dxa"/>
            <w:vAlign w:val="bottom"/>
          </w:tcPr>
          <w:p>
            <w:pPr>
              <w:ind w:left="540"/>
              <w:spacing w:after="0"/>
              <w:rPr>
                <w:sz w:val="20"/>
                <w:szCs w:val="20"/>
                <w:color w:val="auto"/>
              </w:rPr>
            </w:pPr>
            <w:r>
              <w:rPr>
                <w:rFonts w:ascii="Arial" w:cs="Arial" w:eastAsia="Arial" w:hAnsi="Arial"/>
                <w:sz w:val="18"/>
                <w:szCs w:val="18"/>
                <w:color w:val="auto"/>
              </w:rPr>
              <w:t>Construction</w:t>
            </w:r>
          </w:p>
        </w:tc>
        <w:tc>
          <w:tcPr>
            <w:tcW w:w="2260" w:type="dxa"/>
            <w:vAlign w:val="bottom"/>
          </w:tcPr>
          <w:p>
            <w:pPr>
              <w:spacing w:after="0"/>
              <w:rPr>
                <w:sz w:val="20"/>
                <w:szCs w:val="20"/>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8,482</w:t>
            </w:r>
          </w:p>
        </w:tc>
        <w:tc>
          <w:tcPr>
            <w:tcW w:w="260" w:type="dxa"/>
            <w:vAlign w:val="bottom"/>
          </w:tcPr>
          <w:p>
            <w:pPr>
              <w:spacing w:after="0"/>
              <w:rPr>
                <w:sz w:val="20"/>
                <w:szCs w:val="20"/>
                <w:color w:val="auto"/>
              </w:rPr>
            </w:pP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8,482</w:t>
            </w:r>
          </w:p>
        </w:tc>
      </w:tr>
      <w:tr>
        <w:trPr>
          <w:trHeight w:val="251"/>
        </w:trPr>
        <w:tc>
          <w:tcPr>
            <w:tcW w:w="4100" w:type="dxa"/>
            <w:vAlign w:val="bottom"/>
            <w:shd w:val="clear" w:color="auto" w:fill="C0C0C0"/>
          </w:tcPr>
          <w:p>
            <w:pPr>
              <w:ind w:left="280"/>
              <w:spacing w:after="0"/>
              <w:rPr>
                <w:sz w:val="20"/>
                <w:szCs w:val="20"/>
                <w:color w:val="auto"/>
              </w:rPr>
            </w:pPr>
            <w:r>
              <w:rPr>
                <w:rFonts w:ascii="Arial" w:cs="Arial" w:eastAsia="Arial" w:hAnsi="Arial"/>
                <w:sz w:val="18"/>
                <w:szCs w:val="18"/>
                <w:color w:val="auto"/>
              </w:rPr>
              <w:t>Church, church-related:</w:t>
            </w:r>
          </w:p>
        </w:tc>
        <w:tc>
          <w:tcPr>
            <w:tcW w:w="2260" w:type="dxa"/>
            <w:vAlign w:val="bottom"/>
            <w:shd w:val="clear" w:color="auto" w:fill="C0C0C0"/>
          </w:tcPr>
          <w:p>
            <w:pPr>
              <w:spacing w:after="0"/>
              <w:rPr>
                <w:sz w:val="21"/>
                <w:szCs w:val="21"/>
                <w:color w:val="auto"/>
              </w:rPr>
            </w:pPr>
          </w:p>
        </w:tc>
        <w:tc>
          <w:tcPr>
            <w:tcW w:w="10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28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120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r>
      <w:tr>
        <w:trPr>
          <w:trHeight w:val="235"/>
        </w:trPr>
        <w:tc>
          <w:tcPr>
            <w:tcW w:w="4100" w:type="dxa"/>
            <w:vAlign w:val="bottom"/>
          </w:tcPr>
          <w:p>
            <w:pPr>
              <w:ind w:left="540"/>
              <w:spacing w:after="0"/>
              <w:rPr>
                <w:sz w:val="20"/>
                <w:szCs w:val="20"/>
                <w:color w:val="auto"/>
              </w:rPr>
            </w:pPr>
            <w:r>
              <w:rPr>
                <w:rFonts w:ascii="Arial" w:cs="Arial" w:eastAsia="Arial" w:hAnsi="Arial"/>
                <w:sz w:val="18"/>
                <w:szCs w:val="18"/>
                <w:color w:val="auto"/>
              </w:rPr>
              <w:t>Mortgage</w:t>
            </w:r>
          </w:p>
        </w:tc>
        <w:tc>
          <w:tcPr>
            <w:tcW w:w="2260" w:type="dxa"/>
            <w:vAlign w:val="bottom"/>
          </w:tcPr>
          <w:p>
            <w:pPr>
              <w:spacing w:after="0"/>
              <w:rPr>
                <w:sz w:val="20"/>
                <w:szCs w:val="20"/>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325,822</w:t>
            </w:r>
          </w:p>
        </w:tc>
        <w:tc>
          <w:tcPr>
            <w:tcW w:w="260" w:type="dxa"/>
            <w:vAlign w:val="bottom"/>
          </w:tcPr>
          <w:p>
            <w:pPr>
              <w:spacing w:after="0"/>
              <w:rPr>
                <w:sz w:val="20"/>
                <w:szCs w:val="20"/>
                <w:color w:val="auto"/>
              </w:rPr>
            </w:pP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84</w:t>
            </w:r>
          </w:p>
        </w:tc>
        <w:tc>
          <w:tcPr>
            <w:tcW w:w="240" w:type="dxa"/>
            <w:vAlign w:val="bottom"/>
          </w:tcPr>
          <w:p>
            <w:pPr>
              <w:spacing w:after="0"/>
              <w:rPr>
                <w:sz w:val="20"/>
                <w:szCs w:val="20"/>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325,906</w:t>
            </w:r>
          </w:p>
        </w:tc>
      </w:tr>
      <w:tr>
        <w:trPr>
          <w:trHeight w:val="251"/>
        </w:trPr>
        <w:tc>
          <w:tcPr>
            <w:tcW w:w="4100" w:type="dxa"/>
            <w:vAlign w:val="bottom"/>
            <w:shd w:val="clear" w:color="auto" w:fill="C0C0C0"/>
          </w:tcPr>
          <w:p>
            <w:pPr>
              <w:ind w:left="540"/>
              <w:spacing w:after="0"/>
              <w:rPr>
                <w:sz w:val="20"/>
                <w:szCs w:val="20"/>
                <w:color w:val="auto"/>
              </w:rPr>
            </w:pPr>
            <w:r>
              <w:rPr>
                <w:rFonts w:ascii="Arial" w:cs="Arial" w:eastAsia="Arial" w:hAnsi="Arial"/>
                <w:sz w:val="18"/>
                <w:szCs w:val="18"/>
                <w:color w:val="auto"/>
              </w:rPr>
              <w:t>Construction</w:t>
            </w:r>
          </w:p>
        </w:tc>
        <w:tc>
          <w:tcPr>
            <w:tcW w:w="2260" w:type="dxa"/>
            <w:vAlign w:val="bottom"/>
            <w:shd w:val="clear" w:color="auto" w:fill="C0C0C0"/>
          </w:tcPr>
          <w:p>
            <w:pPr>
              <w:spacing w:after="0"/>
              <w:rPr>
                <w:sz w:val="21"/>
                <w:szCs w:val="21"/>
                <w:color w:val="auto"/>
              </w:rPr>
            </w:pPr>
          </w:p>
        </w:tc>
        <w:tc>
          <w:tcPr>
            <w:tcW w:w="10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12,214</w:t>
            </w:r>
          </w:p>
        </w:tc>
        <w:tc>
          <w:tcPr>
            <w:tcW w:w="260" w:type="dxa"/>
            <w:vAlign w:val="bottom"/>
            <w:shd w:val="clear" w:color="auto" w:fill="C0C0C0"/>
          </w:tcPr>
          <w:p>
            <w:pPr>
              <w:spacing w:after="0"/>
              <w:rPr>
                <w:sz w:val="21"/>
                <w:szCs w:val="21"/>
                <w:color w:val="auto"/>
              </w:rPr>
            </w:pPr>
          </w:p>
        </w:tc>
        <w:tc>
          <w:tcPr>
            <w:tcW w:w="12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C0C0C0"/>
          </w:tcPr>
          <w:p>
            <w:pPr>
              <w:spacing w:after="0"/>
              <w:rPr>
                <w:sz w:val="21"/>
                <w:szCs w:val="21"/>
                <w:color w:val="auto"/>
              </w:rPr>
            </w:pPr>
          </w:p>
        </w:tc>
        <w:tc>
          <w:tcPr>
            <w:tcW w:w="12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340" w:type="dxa"/>
            <w:vAlign w:val="bottom"/>
            <w:shd w:val="clear" w:color="auto" w:fill="C0C0C0"/>
          </w:tcPr>
          <w:p>
            <w:pPr>
              <w:spacing w:after="0"/>
              <w:rPr>
                <w:sz w:val="21"/>
                <w:szCs w:val="21"/>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12,214</w:t>
            </w:r>
          </w:p>
        </w:tc>
      </w:tr>
      <w:tr>
        <w:trPr>
          <w:trHeight w:val="235"/>
        </w:trPr>
        <w:tc>
          <w:tcPr>
            <w:tcW w:w="4100" w:type="dxa"/>
            <w:vAlign w:val="bottom"/>
          </w:tcPr>
          <w:p>
            <w:pPr>
              <w:spacing w:after="0"/>
              <w:rPr>
                <w:sz w:val="20"/>
                <w:szCs w:val="20"/>
                <w:color w:val="auto"/>
              </w:rPr>
            </w:pPr>
            <w:r>
              <w:rPr>
                <w:rFonts w:ascii="Arial" w:cs="Arial" w:eastAsia="Arial" w:hAnsi="Arial"/>
                <w:sz w:val="18"/>
                <w:szCs w:val="18"/>
                <w:color w:val="auto"/>
              </w:rPr>
              <w:t>Industrial Revenue Bonds</w:t>
            </w:r>
          </w:p>
        </w:tc>
        <w:tc>
          <w:tcPr>
            <w:tcW w:w="2260" w:type="dxa"/>
            <w:vAlign w:val="bottom"/>
          </w:tcPr>
          <w:p>
            <w:pPr>
              <w:spacing w:after="0"/>
              <w:rPr>
                <w:sz w:val="20"/>
                <w:szCs w:val="20"/>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5,007</w:t>
            </w:r>
          </w:p>
        </w:tc>
        <w:tc>
          <w:tcPr>
            <w:tcW w:w="260" w:type="dxa"/>
            <w:vAlign w:val="bottom"/>
          </w:tcPr>
          <w:p>
            <w:pPr>
              <w:spacing w:after="0"/>
              <w:rPr>
                <w:sz w:val="20"/>
                <w:szCs w:val="20"/>
                <w:color w:val="auto"/>
              </w:rPr>
            </w:pP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5,007</w:t>
            </w:r>
          </w:p>
        </w:tc>
      </w:tr>
      <w:tr>
        <w:trPr>
          <w:trHeight w:val="244"/>
        </w:trPr>
        <w:tc>
          <w:tcPr>
            <w:tcW w:w="410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Other</w:t>
            </w:r>
          </w:p>
        </w:tc>
        <w:tc>
          <w:tcPr>
            <w:tcW w:w="2260" w:type="dxa"/>
            <w:vAlign w:val="bottom"/>
            <w:tcBorders>
              <w:bottom w:val="single" w:sz="8" w:color="auto"/>
            </w:tcBorders>
            <w:shd w:val="clear" w:color="auto" w:fill="C0C0C0"/>
          </w:tcPr>
          <w:p>
            <w:pPr>
              <w:spacing w:after="0"/>
              <w:rPr>
                <w:sz w:val="21"/>
                <w:szCs w:val="21"/>
                <w:color w:val="auto"/>
              </w:rPr>
            </w:pPr>
          </w:p>
        </w:tc>
        <w:tc>
          <w:tcPr>
            <w:tcW w:w="106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80</w:t>
            </w:r>
          </w:p>
        </w:tc>
        <w:tc>
          <w:tcPr>
            <w:tcW w:w="260" w:type="dxa"/>
            <w:vAlign w:val="bottom"/>
            <w:tcBorders>
              <w:bottom w:val="single" w:sz="8" w:color="auto"/>
            </w:tcBorders>
            <w:shd w:val="clear" w:color="auto" w:fill="C0C0C0"/>
          </w:tcPr>
          <w:p>
            <w:pPr>
              <w:spacing w:after="0"/>
              <w:rPr>
                <w:sz w:val="21"/>
                <w:szCs w:val="21"/>
                <w:color w:val="auto"/>
              </w:rPr>
            </w:pPr>
          </w:p>
        </w:tc>
        <w:tc>
          <w:tcPr>
            <w:tcW w:w="128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0C0C0"/>
          </w:tcPr>
          <w:p>
            <w:pPr>
              <w:spacing w:after="0"/>
              <w:rPr>
                <w:sz w:val="21"/>
                <w:szCs w:val="21"/>
                <w:color w:val="auto"/>
              </w:rPr>
            </w:pPr>
          </w:p>
        </w:tc>
        <w:tc>
          <w:tcPr>
            <w:tcW w:w="120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0C0C0"/>
          </w:tcPr>
          <w:p>
            <w:pPr>
              <w:spacing w:after="0"/>
              <w:rPr>
                <w:sz w:val="21"/>
                <w:szCs w:val="21"/>
                <w:color w:val="auto"/>
              </w:rPr>
            </w:pPr>
          </w:p>
        </w:tc>
        <w:tc>
          <w:tcPr>
            <w:tcW w:w="6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80</w:t>
            </w:r>
          </w:p>
        </w:tc>
      </w:tr>
      <w:tr>
        <w:trPr>
          <w:trHeight w:val="237"/>
        </w:trPr>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668,995</w:t>
            </w:r>
          </w:p>
        </w:tc>
        <w:tc>
          <w:tcPr>
            <w:tcW w:w="2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2,469</w:t>
            </w:r>
          </w:p>
        </w:tc>
        <w:tc>
          <w:tcPr>
            <w:tcW w:w="2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219</w:t>
            </w:r>
          </w:p>
        </w:tc>
        <w:tc>
          <w:tcPr>
            <w:tcW w:w="3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671,683</w:t>
            </w:r>
          </w:p>
        </w:tc>
      </w:tr>
      <w:tr>
        <w:trPr>
          <w:trHeight w:val="243"/>
        </w:trPr>
        <w:tc>
          <w:tcPr>
            <w:tcW w:w="4100" w:type="dxa"/>
            <w:vAlign w:val="bottom"/>
            <w:shd w:val="clear" w:color="auto" w:fill="C0C0C0"/>
          </w:tcPr>
          <w:p>
            <w:pPr>
              <w:spacing w:after="0"/>
              <w:rPr>
                <w:sz w:val="20"/>
                <w:szCs w:val="20"/>
                <w:color w:val="auto"/>
              </w:rPr>
            </w:pPr>
            <w:r>
              <w:rPr>
                <w:rFonts w:ascii="Arial" w:cs="Arial" w:eastAsia="Arial" w:hAnsi="Arial"/>
                <w:sz w:val="18"/>
                <w:szCs w:val="18"/>
                <w:i w:val="1"/>
                <w:iCs w:val="1"/>
                <w:color w:val="auto"/>
              </w:rPr>
              <w:t>December 31, 2016</w:t>
            </w:r>
          </w:p>
        </w:tc>
        <w:tc>
          <w:tcPr>
            <w:tcW w:w="2260" w:type="dxa"/>
            <w:vAlign w:val="bottom"/>
            <w:shd w:val="clear" w:color="auto" w:fill="C0C0C0"/>
          </w:tcPr>
          <w:p>
            <w:pPr>
              <w:spacing w:after="0"/>
              <w:rPr>
                <w:sz w:val="21"/>
                <w:szCs w:val="21"/>
                <w:color w:val="auto"/>
              </w:rPr>
            </w:pPr>
          </w:p>
        </w:tc>
        <w:tc>
          <w:tcPr>
            <w:tcW w:w="10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28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120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r>
      <w:tr>
        <w:trPr>
          <w:trHeight w:val="235"/>
        </w:trPr>
        <w:tc>
          <w:tcPr>
            <w:tcW w:w="4100" w:type="dxa"/>
            <w:vAlign w:val="bottom"/>
          </w:tcPr>
          <w:p>
            <w:pPr>
              <w:spacing w:after="0"/>
              <w:rPr>
                <w:sz w:val="20"/>
                <w:szCs w:val="20"/>
                <w:color w:val="auto"/>
              </w:rPr>
            </w:pPr>
            <w:r>
              <w:rPr>
                <w:rFonts w:ascii="Arial" w:cs="Arial" w:eastAsia="Arial" w:hAnsi="Arial"/>
                <w:sz w:val="18"/>
                <w:szCs w:val="18"/>
                <w:color w:val="auto"/>
              </w:rPr>
              <w:t>Commercial and industrial</w:t>
            </w:r>
          </w:p>
        </w:tc>
        <w:tc>
          <w:tcPr>
            <w:tcW w:w="22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213,024</w:t>
            </w:r>
          </w:p>
        </w:tc>
        <w:tc>
          <w:tcPr>
            <w:tcW w:w="260" w:type="dxa"/>
            <w:vAlign w:val="bottom"/>
          </w:tcPr>
          <w:p>
            <w:pPr>
              <w:ind w:left="14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1,743</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40" w:type="dxa"/>
            <w:vAlign w:val="bottom"/>
          </w:tcPr>
          <w:p>
            <w:pPr>
              <w:ind w:left="1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214,767</w:t>
            </w:r>
          </w:p>
        </w:tc>
      </w:tr>
      <w:tr>
        <w:trPr>
          <w:trHeight w:val="251"/>
        </w:trPr>
        <w:tc>
          <w:tcPr>
            <w:tcW w:w="4100" w:type="dxa"/>
            <w:vAlign w:val="bottom"/>
            <w:shd w:val="clear" w:color="auto" w:fill="C0C0C0"/>
          </w:tcPr>
          <w:p>
            <w:pPr>
              <w:spacing w:after="0"/>
              <w:rPr>
                <w:sz w:val="20"/>
                <w:szCs w:val="20"/>
                <w:color w:val="auto"/>
              </w:rPr>
            </w:pPr>
            <w:r>
              <w:rPr>
                <w:rFonts w:ascii="Arial" w:cs="Arial" w:eastAsia="Arial" w:hAnsi="Arial"/>
                <w:sz w:val="18"/>
                <w:szCs w:val="18"/>
                <w:color w:val="auto"/>
              </w:rPr>
              <w:t>Real estate</w:t>
            </w:r>
          </w:p>
        </w:tc>
        <w:tc>
          <w:tcPr>
            <w:tcW w:w="2260" w:type="dxa"/>
            <w:vAlign w:val="bottom"/>
            <w:shd w:val="clear" w:color="auto" w:fill="C0C0C0"/>
          </w:tcPr>
          <w:p>
            <w:pPr>
              <w:spacing w:after="0"/>
              <w:rPr>
                <w:sz w:val="21"/>
                <w:szCs w:val="21"/>
                <w:color w:val="auto"/>
              </w:rPr>
            </w:pPr>
          </w:p>
        </w:tc>
        <w:tc>
          <w:tcPr>
            <w:tcW w:w="10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28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120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r>
      <w:tr>
        <w:trPr>
          <w:trHeight w:val="235"/>
        </w:trPr>
        <w:tc>
          <w:tcPr>
            <w:tcW w:w="4100" w:type="dxa"/>
            <w:vAlign w:val="bottom"/>
          </w:tcPr>
          <w:p>
            <w:pPr>
              <w:ind w:left="280"/>
              <w:spacing w:after="0"/>
              <w:rPr>
                <w:sz w:val="20"/>
                <w:szCs w:val="20"/>
                <w:color w:val="auto"/>
              </w:rPr>
            </w:pPr>
            <w:r>
              <w:rPr>
                <w:rFonts w:ascii="Arial" w:cs="Arial" w:eastAsia="Arial" w:hAnsi="Arial"/>
                <w:sz w:val="18"/>
                <w:szCs w:val="18"/>
                <w:color w:val="auto"/>
              </w:rPr>
              <w:t>Commercial:</w:t>
            </w:r>
          </w:p>
        </w:tc>
        <w:tc>
          <w:tcPr>
            <w:tcW w:w="2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51"/>
        </w:trPr>
        <w:tc>
          <w:tcPr>
            <w:tcW w:w="4100" w:type="dxa"/>
            <w:vAlign w:val="bottom"/>
            <w:shd w:val="clear" w:color="auto" w:fill="C0C0C0"/>
          </w:tcPr>
          <w:p>
            <w:pPr>
              <w:ind w:left="540"/>
              <w:spacing w:after="0"/>
              <w:rPr>
                <w:sz w:val="20"/>
                <w:szCs w:val="20"/>
                <w:color w:val="auto"/>
              </w:rPr>
            </w:pPr>
            <w:r>
              <w:rPr>
                <w:rFonts w:ascii="Arial" w:cs="Arial" w:eastAsia="Arial" w:hAnsi="Arial"/>
                <w:sz w:val="18"/>
                <w:szCs w:val="18"/>
                <w:color w:val="auto"/>
              </w:rPr>
              <w:t>Mortgage</w:t>
            </w:r>
          </w:p>
        </w:tc>
        <w:tc>
          <w:tcPr>
            <w:tcW w:w="2260" w:type="dxa"/>
            <w:vAlign w:val="bottom"/>
            <w:shd w:val="clear" w:color="auto" w:fill="C0C0C0"/>
          </w:tcPr>
          <w:p>
            <w:pPr>
              <w:spacing w:after="0"/>
              <w:rPr>
                <w:sz w:val="21"/>
                <w:szCs w:val="21"/>
                <w:color w:val="auto"/>
              </w:rPr>
            </w:pPr>
          </w:p>
        </w:tc>
        <w:tc>
          <w:tcPr>
            <w:tcW w:w="10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103,778</w:t>
            </w:r>
          </w:p>
        </w:tc>
        <w:tc>
          <w:tcPr>
            <w:tcW w:w="260" w:type="dxa"/>
            <w:vAlign w:val="bottom"/>
            <w:shd w:val="clear" w:color="auto" w:fill="C0C0C0"/>
          </w:tcPr>
          <w:p>
            <w:pPr>
              <w:spacing w:after="0"/>
              <w:rPr>
                <w:sz w:val="21"/>
                <w:szCs w:val="21"/>
                <w:color w:val="auto"/>
              </w:rPr>
            </w:pPr>
          </w:p>
        </w:tc>
        <w:tc>
          <w:tcPr>
            <w:tcW w:w="12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756</w:t>
            </w:r>
          </w:p>
        </w:tc>
        <w:tc>
          <w:tcPr>
            <w:tcW w:w="240" w:type="dxa"/>
            <w:vAlign w:val="bottom"/>
            <w:shd w:val="clear" w:color="auto" w:fill="C0C0C0"/>
          </w:tcPr>
          <w:p>
            <w:pPr>
              <w:spacing w:after="0"/>
              <w:rPr>
                <w:sz w:val="21"/>
                <w:szCs w:val="21"/>
                <w:color w:val="auto"/>
              </w:rPr>
            </w:pPr>
          </w:p>
        </w:tc>
        <w:tc>
          <w:tcPr>
            <w:tcW w:w="12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245</w:t>
            </w:r>
          </w:p>
        </w:tc>
        <w:tc>
          <w:tcPr>
            <w:tcW w:w="340" w:type="dxa"/>
            <w:vAlign w:val="bottom"/>
            <w:shd w:val="clear" w:color="auto" w:fill="C0C0C0"/>
          </w:tcPr>
          <w:p>
            <w:pPr>
              <w:spacing w:after="0"/>
              <w:rPr>
                <w:sz w:val="21"/>
                <w:szCs w:val="21"/>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104,779</w:t>
            </w:r>
          </w:p>
        </w:tc>
      </w:tr>
      <w:tr>
        <w:trPr>
          <w:trHeight w:val="235"/>
        </w:trPr>
        <w:tc>
          <w:tcPr>
            <w:tcW w:w="4100" w:type="dxa"/>
            <w:vAlign w:val="bottom"/>
          </w:tcPr>
          <w:p>
            <w:pPr>
              <w:ind w:left="540"/>
              <w:spacing w:after="0"/>
              <w:rPr>
                <w:sz w:val="20"/>
                <w:szCs w:val="20"/>
                <w:color w:val="auto"/>
              </w:rPr>
            </w:pPr>
            <w:r>
              <w:rPr>
                <w:rFonts w:ascii="Arial" w:cs="Arial" w:eastAsia="Arial" w:hAnsi="Arial"/>
                <w:sz w:val="18"/>
                <w:szCs w:val="18"/>
                <w:color w:val="auto"/>
              </w:rPr>
              <w:t>Construction</w:t>
            </w:r>
          </w:p>
        </w:tc>
        <w:tc>
          <w:tcPr>
            <w:tcW w:w="2260" w:type="dxa"/>
            <w:vAlign w:val="bottom"/>
          </w:tcPr>
          <w:p>
            <w:pPr>
              <w:spacing w:after="0"/>
              <w:rPr>
                <w:sz w:val="20"/>
                <w:szCs w:val="20"/>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6,325</w:t>
            </w:r>
          </w:p>
        </w:tc>
        <w:tc>
          <w:tcPr>
            <w:tcW w:w="260" w:type="dxa"/>
            <w:vAlign w:val="bottom"/>
          </w:tcPr>
          <w:p>
            <w:pPr>
              <w:spacing w:after="0"/>
              <w:rPr>
                <w:sz w:val="20"/>
                <w:szCs w:val="20"/>
                <w:color w:val="auto"/>
              </w:rPr>
            </w:pP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6,325</w:t>
            </w:r>
          </w:p>
        </w:tc>
      </w:tr>
      <w:tr>
        <w:trPr>
          <w:trHeight w:val="251"/>
        </w:trPr>
        <w:tc>
          <w:tcPr>
            <w:tcW w:w="4100" w:type="dxa"/>
            <w:vAlign w:val="bottom"/>
            <w:shd w:val="clear" w:color="auto" w:fill="C0C0C0"/>
          </w:tcPr>
          <w:p>
            <w:pPr>
              <w:ind w:left="280"/>
              <w:spacing w:after="0"/>
              <w:rPr>
                <w:sz w:val="20"/>
                <w:szCs w:val="20"/>
                <w:color w:val="auto"/>
              </w:rPr>
            </w:pPr>
            <w:r>
              <w:rPr>
                <w:rFonts w:ascii="Arial" w:cs="Arial" w:eastAsia="Arial" w:hAnsi="Arial"/>
                <w:sz w:val="18"/>
                <w:szCs w:val="18"/>
                <w:color w:val="auto"/>
              </w:rPr>
              <w:t>Church, church-related:</w:t>
            </w:r>
          </w:p>
        </w:tc>
        <w:tc>
          <w:tcPr>
            <w:tcW w:w="2260" w:type="dxa"/>
            <w:vAlign w:val="bottom"/>
            <w:shd w:val="clear" w:color="auto" w:fill="C0C0C0"/>
          </w:tcPr>
          <w:p>
            <w:pPr>
              <w:spacing w:after="0"/>
              <w:rPr>
                <w:sz w:val="21"/>
                <w:szCs w:val="21"/>
                <w:color w:val="auto"/>
              </w:rPr>
            </w:pPr>
          </w:p>
        </w:tc>
        <w:tc>
          <w:tcPr>
            <w:tcW w:w="10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28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120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r>
      <w:tr>
        <w:trPr>
          <w:trHeight w:val="235"/>
        </w:trPr>
        <w:tc>
          <w:tcPr>
            <w:tcW w:w="4100" w:type="dxa"/>
            <w:vAlign w:val="bottom"/>
          </w:tcPr>
          <w:p>
            <w:pPr>
              <w:ind w:left="540"/>
              <w:spacing w:after="0"/>
              <w:rPr>
                <w:sz w:val="20"/>
                <w:szCs w:val="20"/>
                <w:color w:val="auto"/>
              </w:rPr>
            </w:pPr>
            <w:r>
              <w:rPr>
                <w:rFonts w:ascii="Arial" w:cs="Arial" w:eastAsia="Arial" w:hAnsi="Arial"/>
                <w:sz w:val="18"/>
                <w:szCs w:val="18"/>
                <w:color w:val="auto"/>
              </w:rPr>
              <w:t>Mortgage</w:t>
            </w:r>
          </w:p>
        </w:tc>
        <w:tc>
          <w:tcPr>
            <w:tcW w:w="2260" w:type="dxa"/>
            <w:vAlign w:val="bottom"/>
          </w:tcPr>
          <w:p>
            <w:pPr>
              <w:spacing w:after="0"/>
              <w:rPr>
                <w:sz w:val="20"/>
                <w:szCs w:val="20"/>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318,030</w:t>
            </w:r>
          </w:p>
        </w:tc>
        <w:tc>
          <w:tcPr>
            <w:tcW w:w="260" w:type="dxa"/>
            <w:vAlign w:val="bottom"/>
          </w:tcPr>
          <w:p>
            <w:pPr>
              <w:spacing w:after="0"/>
              <w:rPr>
                <w:sz w:val="20"/>
                <w:szCs w:val="20"/>
                <w:color w:val="auto"/>
              </w:rPr>
            </w:pP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3,138</w:t>
            </w:r>
          </w:p>
        </w:tc>
        <w:tc>
          <w:tcPr>
            <w:tcW w:w="240" w:type="dxa"/>
            <w:vAlign w:val="bottom"/>
          </w:tcPr>
          <w:p>
            <w:pPr>
              <w:spacing w:after="0"/>
              <w:rPr>
                <w:sz w:val="20"/>
                <w:szCs w:val="20"/>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321,168</w:t>
            </w:r>
          </w:p>
        </w:tc>
      </w:tr>
      <w:tr>
        <w:trPr>
          <w:trHeight w:val="251"/>
        </w:trPr>
        <w:tc>
          <w:tcPr>
            <w:tcW w:w="4100" w:type="dxa"/>
            <w:vAlign w:val="bottom"/>
            <w:shd w:val="clear" w:color="auto" w:fill="C0C0C0"/>
          </w:tcPr>
          <w:p>
            <w:pPr>
              <w:ind w:left="540"/>
              <w:spacing w:after="0"/>
              <w:rPr>
                <w:sz w:val="20"/>
                <w:szCs w:val="20"/>
                <w:color w:val="auto"/>
              </w:rPr>
            </w:pPr>
            <w:r>
              <w:rPr>
                <w:rFonts w:ascii="Arial" w:cs="Arial" w:eastAsia="Arial" w:hAnsi="Arial"/>
                <w:sz w:val="18"/>
                <w:szCs w:val="18"/>
                <w:color w:val="auto"/>
              </w:rPr>
              <w:t>Construction</w:t>
            </w:r>
          </w:p>
        </w:tc>
        <w:tc>
          <w:tcPr>
            <w:tcW w:w="2260" w:type="dxa"/>
            <w:vAlign w:val="bottom"/>
            <w:shd w:val="clear" w:color="auto" w:fill="C0C0C0"/>
          </w:tcPr>
          <w:p>
            <w:pPr>
              <w:spacing w:after="0"/>
              <w:rPr>
                <w:sz w:val="21"/>
                <w:szCs w:val="21"/>
                <w:color w:val="auto"/>
              </w:rPr>
            </w:pPr>
          </w:p>
        </w:tc>
        <w:tc>
          <w:tcPr>
            <w:tcW w:w="10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11,152</w:t>
            </w:r>
          </w:p>
        </w:tc>
        <w:tc>
          <w:tcPr>
            <w:tcW w:w="260" w:type="dxa"/>
            <w:vAlign w:val="bottom"/>
            <w:shd w:val="clear" w:color="auto" w:fill="C0C0C0"/>
          </w:tcPr>
          <w:p>
            <w:pPr>
              <w:spacing w:after="0"/>
              <w:rPr>
                <w:sz w:val="21"/>
                <w:szCs w:val="21"/>
                <w:color w:val="auto"/>
              </w:rPr>
            </w:pPr>
          </w:p>
        </w:tc>
        <w:tc>
          <w:tcPr>
            <w:tcW w:w="12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C0C0C0"/>
          </w:tcPr>
          <w:p>
            <w:pPr>
              <w:spacing w:after="0"/>
              <w:rPr>
                <w:sz w:val="21"/>
                <w:szCs w:val="21"/>
                <w:color w:val="auto"/>
              </w:rPr>
            </w:pPr>
          </w:p>
        </w:tc>
        <w:tc>
          <w:tcPr>
            <w:tcW w:w="12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340" w:type="dxa"/>
            <w:vAlign w:val="bottom"/>
            <w:shd w:val="clear" w:color="auto" w:fill="C0C0C0"/>
          </w:tcPr>
          <w:p>
            <w:pPr>
              <w:spacing w:after="0"/>
              <w:rPr>
                <w:sz w:val="21"/>
                <w:szCs w:val="21"/>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11,152</w:t>
            </w:r>
          </w:p>
        </w:tc>
      </w:tr>
      <w:tr>
        <w:trPr>
          <w:trHeight w:val="235"/>
        </w:trPr>
        <w:tc>
          <w:tcPr>
            <w:tcW w:w="4100" w:type="dxa"/>
            <w:vAlign w:val="bottom"/>
          </w:tcPr>
          <w:p>
            <w:pPr>
              <w:spacing w:after="0"/>
              <w:rPr>
                <w:sz w:val="20"/>
                <w:szCs w:val="20"/>
                <w:color w:val="auto"/>
              </w:rPr>
            </w:pPr>
            <w:r>
              <w:rPr>
                <w:rFonts w:ascii="Arial" w:cs="Arial" w:eastAsia="Arial" w:hAnsi="Arial"/>
                <w:sz w:val="18"/>
                <w:szCs w:val="18"/>
                <w:color w:val="auto"/>
              </w:rPr>
              <w:t>Industrial revenue bonds</w:t>
            </w:r>
          </w:p>
        </w:tc>
        <w:tc>
          <w:tcPr>
            <w:tcW w:w="2260" w:type="dxa"/>
            <w:vAlign w:val="bottom"/>
          </w:tcPr>
          <w:p>
            <w:pPr>
              <w:spacing w:after="0"/>
              <w:rPr>
                <w:sz w:val="20"/>
                <w:szCs w:val="20"/>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6,639</w:t>
            </w:r>
          </w:p>
        </w:tc>
        <w:tc>
          <w:tcPr>
            <w:tcW w:w="260" w:type="dxa"/>
            <w:vAlign w:val="bottom"/>
          </w:tcPr>
          <w:p>
            <w:pPr>
              <w:spacing w:after="0"/>
              <w:rPr>
                <w:sz w:val="20"/>
                <w:szCs w:val="20"/>
                <w:color w:val="auto"/>
              </w:rPr>
            </w:pP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6,639</w:t>
            </w:r>
          </w:p>
        </w:tc>
      </w:tr>
      <w:tr>
        <w:trPr>
          <w:trHeight w:val="244"/>
        </w:trPr>
        <w:tc>
          <w:tcPr>
            <w:tcW w:w="410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Other</w:t>
            </w:r>
          </w:p>
        </w:tc>
        <w:tc>
          <w:tcPr>
            <w:tcW w:w="2260" w:type="dxa"/>
            <w:vAlign w:val="bottom"/>
            <w:tcBorders>
              <w:bottom w:val="single" w:sz="8" w:color="auto"/>
            </w:tcBorders>
            <w:shd w:val="clear" w:color="auto" w:fill="C0C0C0"/>
          </w:tcPr>
          <w:p>
            <w:pPr>
              <w:spacing w:after="0"/>
              <w:rPr>
                <w:sz w:val="21"/>
                <w:szCs w:val="21"/>
                <w:color w:val="auto"/>
              </w:rPr>
            </w:pPr>
          </w:p>
        </w:tc>
        <w:tc>
          <w:tcPr>
            <w:tcW w:w="106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36</w:t>
            </w:r>
          </w:p>
        </w:tc>
        <w:tc>
          <w:tcPr>
            <w:tcW w:w="260" w:type="dxa"/>
            <w:vAlign w:val="bottom"/>
            <w:tcBorders>
              <w:bottom w:val="single" w:sz="8" w:color="auto"/>
            </w:tcBorders>
            <w:shd w:val="clear" w:color="auto" w:fill="C0C0C0"/>
          </w:tcPr>
          <w:p>
            <w:pPr>
              <w:spacing w:after="0"/>
              <w:rPr>
                <w:sz w:val="21"/>
                <w:szCs w:val="21"/>
                <w:color w:val="auto"/>
              </w:rPr>
            </w:pPr>
          </w:p>
        </w:tc>
        <w:tc>
          <w:tcPr>
            <w:tcW w:w="128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0C0C0"/>
          </w:tcPr>
          <w:p>
            <w:pPr>
              <w:spacing w:after="0"/>
              <w:rPr>
                <w:sz w:val="21"/>
                <w:szCs w:val="21"/>
                <w:color w:val="auto"/>
              </w:rPr>
            </w:pPr>
          </w:p>
        </w:tc>
        <w:tc>
          <w:tcPr>
            <w:tcW w:w="120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0C0C0"/>
          </w:tcPr>
          <w:p>
            <w:pPr>
              <w:spacing w:after="0"/>
              <w:rPr>
                <w:sz w:val="21"/>
                <w:szCs w:val="21"/>
                <w:color w:val="auto"/>
              </w:rPr>
            </w:pPr>
          </w:p>
        </w:tc>
        <w:tc>
          <w:tcPr>
            <w:tcW w:w="6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36</w:t>
            </w:r>
          </w:p>
        </w:tc>
      </w:tr>
      <w:tr>
        <w:trPr>
          <w:trHeight w:val="228"/>
        </w:trPr>
        <w:tc>
          <w:tcPr>
            <w:tcW w:w="4100" w:type="dxa"/>
            <w:vAlign w:val="bottom"/>
          </w:tcPr>
          <w:p>
            <w:pPr>
              <w:spacing w:after="0"/>
              <w:rPr>
                <w:sz w:val="20"/>
                <w:szCs w:val="20"/>
                <w:color w:val="auto"/>
              </w:rPr>
            </w:pPr>
            <w:r>
              <w:rPr>
                <w:rFonts w:ascii="Arial" w:cs="Arial" w:eastAsia="Arial" w:hAnsi="Arial"/>
                <w:sz w:val="18"/>
                <w:szCs w:val="18"/>
                <w:color w:val="auto"/>
              </w:rPr>
              <w:t>Total</w:t>
            </w:r>
          </w:p>
        </w:tc>
        <w:tc>
          <w:tcPr>
            <w:tcW w:w="22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658,984</w:t>
            </w:r>
          </w:p>
        </w:tc>
        <w:tc>
          <w:tcPr>
            <w:tcW w:w="260" w:type="dxa"/>
            <w:vAlign w:val="bottom"/>
          </w:tcPr>
          <w:p>
            <w:pPr>
              <w:ind w:left="14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5,637</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245</w:t>
            </w:r>
          </w:p>
        </w:tc>
        <w:tc>
          <w:tcPr>
            <w:tcW w:w="340" w:type="dxa"/>
            <w:vAlign w:val="bottom"/>
          </w:tcPr>
          <w:p>
            <w:pPr>
              <w:ind w:left="1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664,866</w:t>
            </w:r>
          </w:p>
        </w:tc>
      </w:tr>
    </w:tbl>
    <w:p>
      <w:pPr>
        <w:ind w:left="120" w:hanging="112"/>
        <w:spacing w:after="0" w:line="206" w:lineRule="auto"/>
        <w:tabs>
          <w:tab w:leader="none" w:pos="120" w:val="left"/>
        </w:tabs>
        <w:numPr>
          <w:ilvl w:val="0"/>
          <w:numId w:val="4"/>
        </w:numPr>
        <w:rPr>
          <w:rFonts w:ascii="Arial" w:cs="Arial" w:eastAsia="Arial" w:hAnsi="Arial"/>
          <w:sz w:val="22"/>
          <w:szCs w:val="22"/>
          <w:color w:val="auto"/>
          <w:vertAlign w:val="superscript"/>
        </w:rPr>
      </w:pPr>
      <w:r>
        <w:rPr>
          <w:rFonts w:ascii="Arial" w:cs="Arial" w:eastAsia="Arial" w:hAnsi="Arial"/>
          <w:sz w:val="14"/>
          <w:szCs w:val="14"/>
          <w:color w:val="auto"/>
        </w:rPr>
        <w:t>Loans subject to normal monitoring involve borrowers of acceptable-to-strong credit quality and risk, who have the apparent ability to satisfy their loan obligations.</w:t>
      </w:r>
    </w:p>
    <w:p>
      <w:pPr>
        <w:spacing w:after="0" w:line="15" w:lineRule="exact"/>
        <w:rPr>
          <w:rFonts w:ascii="Arial" w:cs="Arial" w:eastAsia="Arial" w:hAnsi="Arial"/>
          <w:sz w:val="22"/>
          <w:szCs w:val="22"/>
          <w:color w:val="auto"/>
          <w:vertAlign w:val="superscript"/>
        </w:rPr>
      </w:pPr>
    </w:p>
    <w:p>
      <w:pPr>
        <w:spacing w:after="0" w:line="235" w:lineRule="auto"/>
        <w:rPr>
          <w:rFonts w:ascii="Arial" w:cs="Arial" w:eastAsia="Arial" w:hAnsi="Arial"/>
          <w:sz w:val="22"/>
          <w:szCs w:val="22"/>
          <w:color w:val="auto"/>
          <w:vertAlign w:val="superscript"/>
        </w:rPr>
      </w:pPr>
      <w:r>
        <w:rPr>
          <w:rFonts w:ascii="Arial" w:cs="Arial" w:eastAsia="Arial" w:hAnsi="Arial"/>
          <w:sz w:val="22"/>
          <w:szCs w:val="22"/>
          <w:color w:val="auto"/>
          <w:vertAlign w:val="superscript"/>
        </w:rPr>
        <w:t>2</w:t>
      </w:r>
      <w:r>
        <w:rPr>
          <w:rFonts w:ascii="Arial" w:cs="Arial" w:eastAsia="Arial" w:hAnsi="Arial"/>
          <w:sz w:val="14"/>
          <w:szCs w:val="14"/>
          <w:color w:val="auto"/>
        </w:rPr>
        <w:t xml:space="preserve"> Loans subject to special monitoring possess some credit deficiency or potential weakness which requires a high level of management 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-294640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Impaired loans consist primarily of nonaccrual loans, loans greater than 90 days past due and still accruing interest and troubled debt restructurings, both performing and nonperforming. Troubled debt restructuring involves the granting of a concession to a borrower experiencing financial difficulty resulting in the modification of terms of the loan, such as changes in payment schedule or interest rate. Management measures impairment in accordance with FASB ASC 310, “Allowance for Credit Losses.” At June 30, 2017 and December 31, 2016, impaired loans were evaluated using the expected cash flow method. There were no loans delinquent 90 days or more and still accruing interest at June 30, 2017 and December 31, 2016. There were no loans classified as troubled debt restructuring at June 30, 2017 and December 31, 2016.</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There were no foreclosed loans recorded as other real estate owned as of June 30, 2017, and December 31, 2016.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spacing w:after="0"/>
        <w:rPr>
          <w:sz w:val="20"/>
          <w:szCs w:val="20"/>
          <w:color w:val="auto"/>
        </w:rPr>
      </w:pPr>
      <w:r>
        <w:rPr>
          <w:rFonts w:ascii="Arial" w:cs="Arial" w:eastAsia="Arial" w:hAnsi="Arial"/>
          <w:sz w:val="16"/>
          <w:szCs w:val="16"/>
          <w:color w:val="auto"/>
        </w:rPr>
        <w:t>The following table presents the recorded investment and unpaid principal balance for impaired loans at June 30, 2017 and December 31, 2016:</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1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gridSpan w:val="2"/>
          </w:tcPr>
          <w:p>
            <w:pPr>
              <w:ind w:left="180"/>
              <w:spacing w:after="0"/>
              <w:rPr>
                <w:sz w:val="20"/>
                <w:szCs w:val="20"/>
                <w:color w:val="auto"/>
              </w:rPr>
            </w:pPr>
            <w:r>
              <w:rPr>
                <w:rFonts w:ascii="Arial" w:cs="Arial" w:eastAsia="Arial" w:hAnsi="Arial"/>
                <w:sz w:val="18"/>
                <w:szCs w:val="18"/>
                <w:b w:val="1"/>
                <w:bCs w:val="1"/>
                <w:color w:val="auto"/>
              </w:rPr>
              <w:t>Unpaid</w:t>
            </w:r>
          </w:p>
        </w:tc>
        <w:tc>
          <w:tcPr>
            <w:tcW w:w="1080" w:type="dxa"/>
            <w:vAlign w:val="bottom"/>
            <w:gridSpan w:val="2"/>
          </w:tcPr>
          <w:p>
            <w:pPr>
              <w:ind w:left="260"/>
              <w:spacing w:after="0"/>
              <w:rPr>
                <w:sz w:val="20"/>
                <w:szCs w:val="20"/>
                <w:color w:val="auto"/>
              </w:rPr>
            </w:pPr>
            <w:r>
              <w:rPr>
                <w:rFonts w:ascii="Arial" w:cs="Arial" w:eastAsia="Arial" w:hAnsi="Arial"/>
                <w:sz w:val="18"/>
                <w:szCs w:val="18"/>
                <w:b w:val="1"/>
                <w:bCs w:val="1"/>
                <w:color w:val="auto"/>
              </w:rPr>
              <w:t>Related</w:t>
            </w:r>
          </w:p>
        </w:tc>
      </w:tr>
      <w:tr>
        <w:trPr>
          <w:trHeight w:val="243"/>
        </w:trPr>
        <w:tc>
          <w:tcPr>
            <w:tcW w:w="41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80" w:type="dxa"/>
            <w:vAlign w:val="bottom"/>
            <w:gridSpan w:val="2"/>
          </w:tcPr>
          <w:p>
            <w:pPr>
              <w:jc w:val="right"/>
              <w:ind w:right="132"/>
              <w:spacing w:after="0"/>
              <w:rPr>
                <w:sz w:val="20"/>
                <w:szCs w:val="20"/>
                <w:color w:val="auto"/>
              </w:rPr>
            </w:pPr>
            <w:r>
              <w:rPr>
                <w:rFonts w:ascii="Arial" w:cs="Arial" w:eastAsia="Arial" w:hAnsi="Arial"/>
                <w:sz w:val="18"/>
                <w:szCs w:val="18"/>
                <w:b w:val="1"/>
                <w:bCs w:val="1"/>
                <w:color w:val="auto"/>
              </w:rPr>
              <w:t>Recorded</w:t>
            </w:r>
          </w:p>
        </w:tc>
        <w:tc>
          <w:tcPr>
            <w:tcW w:w="1060" w:type="dxa"/>
            <w:vAlign w:val="bottom"/>
            <w:gridSpan w:val="2"/>
          </w:tcPr>
          <w:p>
            <w:pPr>
              <w:ind w:left="120"/>
              <w:spacing w:after="0"/>
              <w:rPr>
                <w:sz w:val="20"/>
                <w:szCs w:val="20"/>
                <w:color w:val="auto"/>
              </w:rPr>
            </w:pPr>
            <w:r>
              <w:rPr>
                <w:rFonts w:ascii="Arial" w:cs="Arial" w:eastAsia="Arial" w:hAnsi="Arial"/>
                <w:sz w:val="18"/>
                <w:szCs w:val="18"/>
                <w:b w:val="1"/>
                <w:bCs w:val="1"/>
                <w:color w:val="auto"/>
              </w:rPr>
              <w:t>Principal</w:t>
            </w:r>
          </w:p>
        </w:tc>
        <w:tc>
          <w:tcPr>
            <w:tcW w:w="1080" w:type="dxa"/>
            <w:vAlign w:val="bottom"/>
            <w:gridSpan w:val="2"/>
          </w:tcPr>
          <w:p>
            <w:pPr>
              <w:ind w:left="20"/>
              <w:spacing w:after="0"/>
              <w:rPr>
                <w:sz w:val="20"/>
                <w:szCs w:val="20"/>
                <w:color w:val="auto"/>
              </w:rPr>
            </w:pPr>
            <w:r>
              <w:rPr>
                <w:rFonts w:ascii="Arial" w:cs="Arial" w:eastAsia="Arial" w:hAnsi="Arial"/>
                <w:sz w:val="18"/>
                <w:szCs w:val="18"/>
                <w:b w:val="1"/>
                <w:bCs w:val="1"/>
                <w:color w:val="auto"/>
                <w:w w:val="88"/>
              </w:rPr>
              <w:t>Allowance for</w:t>
            </w:r>
          </w:p>
        </w:tc>
      </w:tr>
      <w:tr>
        <w:trPr>
          <w:trHeight w:val="252"/>
        </w:trPr>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2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Investment</w:t>
            </w:r>
          </w:p>
        </w:tc>
        <w:tc>
          <w:tcPr>
            <w:tcW w:w="106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Balance</w:t>
            </w: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Loan Losses</w:t>
            </w:r>
          </w:p>
        </w:tc>
      </w:tr>
      <w:tr>
        <w:trPr>
          <w:trHeight w:val="243"/>
        </w:trPr>
        <w:tc>
          <w:tcPr>
            <w:tcW w:w="4120" w:type="dxa"/>
            <w:vAlign w:val="bottom"/>
            <w:shd w:val="clear" w:color="auto" w:fill="C0C0C0"/>
          </w:tcPr>
          <w:p>
            <w:pPr>
              <w:spacing w:after="0"/>
              <w:rPr>
                <w:sz w:val="20"/>
                <w:szCs w:val="20"/>
                <w:color w:val="auto"/>
              </w:rPr>
            </w:pPr>
            <w:r>
              <w:rPr>
                <w:rFonts w:ascii="Arial" w:cs="Arial" w:eastAsia="Arial" w:hAnsi="Arial"/>
                <w:sz w:val="18"/>
                <w:szCs w:val="18"/>
                <w:i w:val="1"/>
                <w:iCs w:val="1"/>
                <w:color w:val="auto"/>
              </w:rPr>
              <w:t>June 30, 2017</w:t>
            </w:r>
          </w:p>
        </w:tc>
        <w:tc>
          <w:tcPr>
            <w:tcW w:w="2280" w:type="dxa"/>
            <w:vAlign w:val="bottom"/>
            <w:shd w:val="clear" w:color="auto" w:fill="C0C0C0"/>
          </w:tcPr>
          <w:p>
            <w:pPr>
              <w:spacing w:after="0"/>
              <w:rPr>
                <w:sz w:val="21"/>
                <w:szCs w:val="21"/>
                <w:color w:val="auto"/>
              </w:rPr>
            </w:pPr>
          </w:p>
        </w:tc>
        <w:tc>
          <w:tcPr>
            <w:tcW w:w="94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600" w:type="dxa"/>
            <w:vAlign w:val="bottom"/>
            <w:shd w:val="clear" w:color="auto" w:fill="C0C0C0"/>
          </w:tcPr>
          <w:p>
            <w:pPr>
              <w:spacing w:after="0"/>
              <w:rPr>
                <w:sz w:val="21"/>
                <w:szCs w:val="21"/>
                <w:color w:val="auto"/>
              </w:rPr>
            </w:pPr>
          </w:p>
        </w:tc>
        <w:tc>
          <w:tcPr>
            <w:tcW w:w="460" w:type="dxa"/>
            <w:vAlign w:val="bottom"/>
            <w:shd w:val="clear" w:color="auto" w:fill="C0C0C0"/>
          </w:tcPr>
          <w:p>
            <w:pPr>
              <w:spacing w:after="0"/>
              <w:rPr>
                <w:sz w:val="21"/>
                <w:szCs w:val="21"/>
                <w:color w:val="auto"/>
              </w:rPr>
            </w:pPr>
          </w:p>
        </w:tc>
        <w:tc>
          <w:tcPr>
            <w:tcW w:w="6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38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r>
      <w:tr>
        <w:trPr>
          <w:trHeight w:val="235"/>
        </w:trPr>
        <w:tc>
          <w:tcPr>
            <w:tcW w:w="4120" w:type="dxa"/>
            <w:vAlign w:val="bottom"/>
          </w:tcPr>
          <w:p>
            <w:pPr>
              <w:spacing w:after="0"/>
              <w:rPr>
                <w:sz w:val="20"/>
                <w:szCs w:val="20"/>
                <w:color w:val="auto"/>
              </w:rPr>
            </w:pPr>
            <w:r>
              <w:rPr>
                <w:rFonts w:ascii="Arial" w:cs="Arial" w:eastAsia="Arial" w:hAnsi="Arial"/>
                <w:sz w:val="18"/>
                <w:szCs w:val="18"/>
                <w:color w:val="auto"/>
              </w:rPr>
              <w:t>Commercial and industrial:</w:t>
            </w:r>
          </w:p>
        </w:tc>
        <w:tc>
          <w:tcPr>
            <w:tcW w:w="2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51"/>
        </w:trPr>
        <w:tc>
          <w:tcPr>
            <w:tcW w:w="4120" w:type="dxa"/>
            <w:vAlign w:val="bottom"/>
            <w:shd w:val="clear" w:color="auto" w:fill="C0C0C0"/>
          </w:tcPr>
          <w:p>
            <w:pPr>
              <w:ind w:left="540"/>
              <w:spacing w:after="0"/>
              <w:rPr>
                <w:sz w:val="20"/>
                <w:szCs w:val="20"/>
                <w:color w:val="auto"/>
              </w:rPr>
            </w:pPr>
            <w:r>
              <w:rPr>
                <w:rFonts w:ascii="Arial" w:cs="Arial" w:eastAsia="Arial" w:hAnsi="Arial"/>
                <w:sz w:val="18"/>
                <w:szCs w:val="18"/>
                <w:color w:val="auto"/>
              </w:rPr>
              <w:t>Nonaccrual</w:t>
            </w:r>
          </w:p>
        </w:tc>
        <w:tc>
          <w:tcPr>
            <w:tcW w:w="2280" w:type="dxa"/>
            <w:vAlign w:val="bottom"/>
            <w:shd w:val="clear" w:color="auto" w:fill="C0C0C0"/>
          </w:tcPr>
          <w:p>
            <w:pPr>
              <w:spacing w:after="0"/>
              <w:rPr>
                <w:sz w:val="21"/>
                <w:szCs w:val="21"/>
                <w:color w:val="auto"/>
              </w:rPr>
            </w:pPr>
          </w:p>
        </w:tc>
        <w:tc>
          <w:tcPr>
            <w:tcW w:w="94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600" w:type="dxa"/>
            <w:vAlign w:val="bottom"/>
            <w:shd w:val="clear" w:color="auto" w:fill="C0C0C0"/>
          </w:tcPr>
          <w:p>
            <w:pPr>
              <w:spacing w:after="0"/>
              <w:rPr>
                <w:sz w:val="21"/>
                <w:szCs w:val="21"/>
                <w:color w:val="auto"/>
              </w:rPr>
            </w:pPr>
          </w:p>
        </w:tc>
        <w:tc>
          <w:tcPr>
            <w:tcW w:w="460" w:type="dxa"/>
            <w:vAlign w:val="bottom"/>
            <w:shd w:val="clear" w:color="auto" w:fill="C0C0C0"/>
          </w:tcPr>
          <w:p>
            <w:pPr>
              <w:ind w:lef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w:t>
            </w:r>
          </w:p>
        </w:tc>
        <w:tc>
          <w:tcPr>
            <w:tcW w:w="260" w:type="dxa"/>
            <w:vAlign w:val="bottom"/>
            <w:shd w:val="clear" w:color="auto" w:fill="C0C0C0"/>
          </w:tcPr>
          <w:p>
            <w:pPr>
              <w:ind w:lef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w:t>
            </w:r>
          </w:p>
        </w:tc>
        <w:tc>
          <w:tcPr>
            <w:tcW w:w="380" w:type="dxa"/>
            <w:vAlign w:val="bottom"/>
            <w:shd w:val="clear" w:color="auto" w:fill="C0C0C0"/>
          </w:tcPr>
          <w:p>
            <w:pPr>
              <w:ind w:lef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r>
      <w:tr>
        <w:trPr>
          <w:trHeight w:val="235"/>
        </w:trPr>
        <w:tc>
          <w:tcPr>
            <w:tcW w:w="4120" w:type="dxa"/>
            <w:vAlign w:val="bottom"/>
          </w:tcPr>
          <w:p>
            <w:pPr>
              <w:spacing w:after="0"/>
              <w:rPr>
                <w:sz w:val="20"/>
                <w:szCs w:val="20"/>
                <w:color w:val="auto"/>
              </w:rPr>
            </w:pPr>
            <w:r>
              <w:rPr>
                <w:rFonts w:ascii="Arial" w:cs="Arial" w:eastAsia="Arial" w:hAnsi="Arial"/>
                <w:sz w:val="18"/>
                <w:szCs w:val="18"/>
                <w:color w:val="auto"/>
              </w:rPr>
              <w:t>Real estate</w:t>
            </w:r>
          </w:p>
        </w:tc>
        <w:tc>
          <w:tcPr>
            <w:tcW w:w="2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51"/>
        </w:trPr>
        <w:tc>
          <w:tcPr>
            <w:tcW w:w="4120" w:type="dxa"/>
            <w:vAlign w:val="bottom"/>
            <w:shd w:val="clear" w:color="auto" w:fill="C0C0C0"/>
          </w:tcPr>
          <w:p>
            <w:pPr>
              <w:ind w:left="280"/>
              <w:spacing w:after="0"/>
              <w:rPr>
                <w:sz w:val="20"/>
                <w:szCs w:val="20"/>
                <w:color w:val="auto"/>
              </w:rPr>
            </w:pPr>
            <w:r>
              <w:rPr>
                <w:rFonts w:ascii="Arial" w:cs="Arial" w:eastAsia="Arial" w:hAnsi="Arial"/>
                <w:sz w:val="18"/>
                <w:szCs w:val="18"/>
                <w:color w:val="auto"/>
              </w:rPr>
              <w:t>Commercial – Mortgage:</w:t>
            </w:r>
          </w:p>
        </w:tc>
        <w:tc>
          <w:tcPr>
            <w:tcW w:w="2280" w:type="dxa"/>
            <w:vAlign w:val="bottom"/>
            <w:shd w:val="clear" w:color="auto" w:fill="C0C0C0"/>
          </w:tcPr>
          <w:p>
            <w:pPr>
              <w:spacing w:after="0"/>
              <w:rPr>
                <w:sz w:val="21"/>
                <w:szCs w:val="21"/>
                <w:color w:val="auto"/>
              </w:rPr>
            </w:pPr>
          </w:p>
        </w:tc>
        <w:tc>
          <w:tcPr>
            <w:tcW w:w="94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600" w:type="dxa"/>
            <w:vAlign w:val="bottom"/>
            <w:shd w:val="clear" w:color="auto" w:fill="C0C0C0"/>
          </w:tcPr>
          <w:p>
            <w:pPr>
              <w:spacing w:after="0"/>
              <w:rPr>
                <w:sz w:val="21"/>
                <w:szCs w:val="21"/>
                <w:color w:val="auto"/>
              </w:rPr>
            </w:pPr>
          </w:p>
        </w:tc>
        <w:tc>
          <w:tcPr>
            <w:tcW w:w="460" w:type="dxa"/>
            <w:vAlign w:val="bottom"/>
            <w:shd w:val="clear" w:color="auto" w:fill="C0C0C0"/>
          </w:tcPr>
          <w:p>
            <w:pPr>
              <w:spacing w:after="0"/>
              <w:rPr>
                <w:sz w:val="21"/>
                <w:szCs w:val="21"/>
                <w:color w:val="auto"/>
              </w:rPr>
            </w:pPr>
          </w:p>
        </w:tc>
        <w:tc>
          <w:tcPr>
            <w:tcW w:w="6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38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r>
      <w:tr>
        <w:trPr>
          <w:trHeight w:val="235"/>
        </w:trPr>
        <w:tc>
          <w:tcPr>
            <w:tcW w:w="4120" w:type="dxa"/>
            <w:vAlign w:val="bottom"/>
          </w:tcPr>
          <w:p>
            <w:pPr>
              <w:ind w:left="540"/>
              <w:spacing w:after="0"/>
              <w:rPr>
                <w:sz w:val="20"/>
                <w:szCs w:val="20"/>
                <w:color w:val="auto"/>
              </w:rPr>
            </w:pPr>
            <w:r>
              <w:rPr>
                <w:rFonts w:ascii="Arial" w:cs="Arial" w:eastAsia="Arial" w:hAnsi="Arial"/>
                <w:sz w:val="18"/>
                <w:szCs w:val="18"/>
                <w:color w:val="auto"/>
              </w:rPr>
              <w:t>Nonaccrual</w:t>
            </w:r>
          </w:p>
        </w:tc>
        <w:tc>
          <w:tcPr>
            <w:tcW w:w="2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20" w:type="dxa"/>
            <w:vAlign w:val="bottom"/>
          </w:tcPr>
          <w:p>
            <w:pPr>
              <w:jc w:val="right"/>
              <w:ind w:right="72"/>
              <w:spacing w:after="0"/>
              <w:rPr>
                <w:sz w:val="20"/>
                <w:szCs w:val="20"/>
                <w:color w:val="auto"/>
              </w:rPr>
            </w:pPr>
            <w:r>
              <w:rPr>
                <w:rFonts w:ascii="Arial" w:cs="Arial" w:eastAsia="Arial" w:hAnsi="Arial"/>
                <w:sz w:val="18"/>
                <w:szCs w:val="18"/>
                <w:color w:val="auto"/>
              </w:rPr>
              <w:t>219</w:t>
            </w:r>
          </w:p>
        </w:tc>
        <w:tc>
          <w:tcPr>
            <w:tcW w:w="260" w:type="dxa"/>
            <w:vAlign w:val="bottom"/>
          </w:tcPr>
          <w:p>
            <w:pPr>
              <w:spacing w:after="0"/>
              <w:rPr>
                <w:sz w:val="20"/>
                <w:szCs w:val="20"/>
                <w:color w:val="auto"/>
              </w:rPr>
            </w:pPr>
          </w:p>
        </w:tc>
        <w:tc>
          <w:tcPr>
            <w:tcW w:w="800" w:type="dxa"/>
            <w:vAlign w:val="bottom"/>
          </w:tcPr>
          <w:p>
            <w:pPr>
              <w:jc w:val="right"/>
              <w:ind w:right="152"/>
              <w:spacing w:after="0"/>
              <w:rPr>
                <w:sz w:val="20"/>
                <w:szCs w:val="20"/>
                <w:color w:val="auto"/>
              </w:rPr>
            </w:pPr>
            <w:r>
              <w:rPr>
                <w:rFonts w:ascii="Arial" w:cs="Arial" w:eastAsia="Arial" w:hAnsi="Arial"/>
                <w:sz w:val="18"/>
                <w:szCs w:val="18"/>
                <w:color w:val="auto"/>
              </w:rPr>
              <w:t>219</w:t>
            </w:r>
          </w:p>
        </w:tc>
        <w:tc>
          <w:tcPr>
            <w:tcW w:w="3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1"/>
        </w:trPr>
        <w:tc>
          <w:tcPr>
            <w:tcW w:w="4120" w:type="dxa"/>
            <w:vAlign w:val="bottom"/>
            <w:shd w:val="clear" w:color="auto" w:fill="C0C0C0"/>
          </w:tcPr>
          <w:p>
            <w:pPr>
              <w:ind w:left="280"/>
              <w:spacing w:after="0"/>
              <w:rPr>
                <w:sz w:val="20"/>
                <w:szCs w:val="20"/>
                <w:color w:val="auto"/>
              </w:rPr>
            </w:pPr>
            <w:r>
              <w:rPr>
                <w:rFonts w:ascii="Arial" w:cs="Arial" w:eastAsia="Arial" w:hAnsi="Arial"/>
                <w:sz w:val="18"/>
                <w:szCs w:val="18"/>
                <w:color w:val="auto"/>
              </w:rPr>
              <w:t>Church – Mortgage:</w:t>
            </w:r>
          </w:p>
        </w:tc>
        <w:tc>
          <w:tcPr>
            <w:tcW w:w="2280" w:type="dxa"/>
            <w:vAlign w:val="bottom"/>
            <w:shd w:val="clear" w:color="auto" w:fill="C0C0C0"/>
          </w:tcPr>
          <w:p>
            <w:pPr>
              <w:spacing w:after="0"/>
              <w:rPr>
                <w:sz w:val="21"/>
                <w:szCs w:val="21"/>
                <w:color w:val="auto"/>
              </w:rPr>
            </w:pPr>
          </w:p>
        </w:tc>
        <w:tc>
          <w:tcPr>
            <w:tcW w:w="94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600" w:type="dxa"/>
            <w:vAlign w:val="bottom"/>
            <w:shd w:val="clear" w:color="auto" w:fill="C0C0C0"/>
          </w:tcPr>
          <w:p>
            <w:pPr>
              <w:spacing w:after="0"/>
              <w:rPr>
                <w:sz w:val="21"/>
                <w:szCs w:val="21"/>
                <w:color w:val="auto"/>
              </w:rPr>
            </w:pPr>
          </w:p>
        </w:tc>
        <w:tc>
          <w:tcPr>
            <w:tcW w:w="460" w:type="dxa"/>
            <w:vAlign w:val="bottom"/>
            <w:shd w:val="clear" w:color="auto" w:fill="C0C0C0"/>
          </w:tcPr>
          <w:p>
            <w:pPr>
              <w:spacing w:after="0"/>
              <w:rPr>
                <w:sz w:val="21"/>
                <w:szCs w:val="21"/>
                <w:color w:val="auto"/>
              </w:rPr>
            </w:pPr>
          </w:p>
        </w:tc>
        <w:tc>
          <w:tcPr>
            <w:tcW w:w="6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38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r>
      <w:tr>
        <w:trPr>
          <w:trHeight w:val="237"/>
        </w:trPr>
        <w:tc>
          <w:tcPr>
            <w:tcW w:w="412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Nonaccrual</w:t>
            </w:r>
          </w:p>
        </w:tc>
        <w:tc>
          <w:tcPr>
            <w:tcW w:w="2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412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Total impaired loans</w:t>
            </w:r>
          </w:p>
        </w:tc>
        <w:tc>
          <w:tcPr>
            <w:tcW w:w="2280" w:type="dxa"/>
            <w:vAlign w:val="bottom"/>
            <w:tcBorders>
              <w:bottom w:val="single" w:sz="8" w:color="auto"/>
            </w:tcBorders>
            <w:shd w:val="clear" w:color="auto" w:fill="C0C0C0"/>
          </w:tcPr>
          <w:p>
            <w:pPr>
              <w:spacing w:after="0"/>
              <w:rPr>
                <w:sz w:val="20"/>
                <w:szCs w:val="20"/>
                <w:color w:val="auto"/>
              </w:rPr>
            </w:pPr>
          </w:p>
        </w:tc>
        <w:tc>
          <w:tcPr>
            <w:tcW w:w="940" w:type="dxa"/>
            <w:vAlign w:val="bottom"/>
            <w:tcBorders>
              <w:bottom w:val="single" w:sz="8" w:color="auto"/>
            </w:tcBorders>
            <w:shd w:val="clear" w:color="auto" w:fill="C0C0C0"/>
          </w:tcPr>
          <w:p>
            <w:pPr>
              <w:spacing w:after="0"/>
              <w:rPr>
                <w:sz w:val="20"/>
                <w:szCs w:val="20"/>
                <w:color w:val="auto"/>
              </w:rPr>
            </w:pPr>
          </w:p>
        </w:tc>
        <w:tc>
          <w:tcPr>
            <w:tcW w:w="260" w:type="dxa"/>
            <w:vAlign w:val="bottom"/>
            <w:tcBorders>
              <w:bottom w:val="single" w:sz="8" w:color="auto"/>
            </w:tcBorders>
            <w:shd w:val="clear" w:color="auto" w:fill="C0C0C0"/>
          </w:tcPr>
          <w:p>
            <w:pPr>
              <w:spacing w:after="0"/>
              <w:rPr>
                <w:sz w:val="20"/>
                <w:szCs w:val="20"/>
                <w:color w:val="auto"/>
              </w:rPr>
            </w:pPr>
          </w:p>
        </w:tc>
        <w:tc>
          <w:tcPr>
            <w:tcW w:w="600" w:type="dxa"/>
            <w:vAlign w:val="bottom"/>
            <w:tcBorders>
              <w:bottom w:val="single" w:sz="8" w:color="auto"/>
            </w:tcBorders>
            <w:shd w:val="clear" w:color="auto" w:fill="C0C0C0"/>
          </w:tcPr>
          <w:p>
            <w:pPr>
              <w:spacing w:after="0"/>
              <w:rPr>
                <w:sz w:val="20"/>
                <w:szCs w:val="20"/>
                <w:color w:val="auto"/>
              </w:rPr>
            </w:pPr>
          </w:p>
        </w:tc>
        <w:tc>
          <w:tcPr>
            <w:tcW w:w="460" w:type="dxa"/>
            <w:vAlign w:val="bottom"/>
            <w:tcBorders>
              <w:bottom w:val="single" w:sz="8" w:color="auto"/>
            </w:tcBorders>
            <w:shd w:val="clear" w:color="auto" w:fill="C0C0C0"/>
          </w:tcPr>
          <w:p>
            <w:pPr>
              <w:ind w:left="8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rPr>
              <w:t>219</w:t>
            </w:r>
          </w:p>
        </w:tc>
        <w:tc>
          <w:tcPr>
            <w:tcW w:w="260" w:type="dxa"/>
            <w:vAlign w:val="bottom"/>
            <w:tcBorders>
              <w:bottom w:val="single" w:sz="8" w:color="auto"/>
            </w:tcBorders>
            <w:shd w:val="clear" w:color="auto" w:fill="C0C0C0"/>
          </w:tcPr>
          <w:p>
            <w:pPr>
              <w:ind w:left="1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0C0C0"/>
          </w:tcPr>
          <w:p>
            <w:pPr>
              <w:jc w:val="right"/>
              <w:ind w:right="152"/>
              <w:spacing w:after="0"/>
              <w:rPr>
                <w:sz w:val="20"/>
                <w:szCs w:val="20"/>
                <w:color w:val="auto"/>
              </w:rPr>
            </w:pPr>
            <w:r>
              <w:rPr>
                <w:rFonts w:ascii="Arial" w:cs="Arial" w:eastAsia="Arial" w:hAnsi="Arial"/>
                <w:sz w:val="18"/>
                <w:szCs w:val="18"/>
                <w:color w:val="auto"/>
              </w:rPr>
              <w:t>219</w:t>
            </w:r>
          </w:p>
        </w:tc>
        <w:tc>
          <w:tcPr>
            <w:tcW w:w="380" w:type="dxa"/>
            <w:vAlign w:val="bottom"/>
            <w:tcBorders>
              <w:bottom w:val="single" w:sz="8" w:color="auto"/>
            </w:tcBorders>
            <w:shd w:val="clear" w:color="auto" w:fill="C0C0C0"/>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r>
      <w:tr>
        <w:trPr>
          <w:trHeight w:val="235"/>
        </w:trPr>
        <w:tc>
          <w:tcPr>
            <w:tcW w:w="4120" w:type="dxa"/>
            <w:vAlign w:val="bottom"/>
          </w:tcPr>
          <w:p>
            <w:pPr>
              <w:spacing w:after="0"/>
              <w:rPr>
                <w:sz w:val="20"/>
                <w:szCs w:val="20"/>
                <w:color w:val="auto"/>
              </w:rPr>
            </w:pPr>
            <w:r>
              <w:rPr>
                <w:rFonts w:ascii="Arial" w:cs="Arial" w:eastAsia="Arial" w:hAnsi="Arial"/>
                <w:sz w:val="18"/>
                <w:szCs w:val="18"/>
                <w:i w:val="1"/>
                <w:iCs w:val="1"/>
                <w:color w:val="auto"/>
              </w:rPr>
              <w:t>December 31, 2016</w:t>
            </w:r>
          </w:p>
        </w:tc>
        <w:tc>
          <w:tcPr>
            <w:tcW w:w="2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51"/>
        </w:trPr>
        <w:tc>
          <w:tcPr>
            <w:tcW w:w="4120" w:type="dxa"/>
            <w:vAlign w:val="bottom"/>
            <w:shd w:val="clear" w:color="auto" w:fill="C0C0C0"/>
          </w:tcPr>
          <w:p>
            <w:pPr>
              <w:spacing w:after="0"/>
              <w:rPr>
                <w:sz w:val="20"/>
                <w:szCs w:val="20"/>
                <w:color w:val="auto"/>
              </w:rPr>
            </w:pPr>
            <w:r>
              <w:rPr>
                <w:rFonts w:ascii="Arial" w:cs="Arial" w:eastAsia="Arial" w:hAnsi="Arial"/>
                <w:sz w:val="18"/>
                <w:szCs w:val="18"/>
                <w:color w:val="auto"/>
              </w:rPr>
              <w:t>Commercial and industrial:</w:t>
            </w:r>
          </w:p>
        </w:tc>
        <w:tc>
          <w:tcPr>
            <w:tcW w:w="2280" w:type="dxa"/>
            <w:vAlign w:val="bottom"/>
            <w:shd w:val="clear" w:color="auto" w:fill="C0C0C0"/>
          </w:tcPr>
          <w:p>
            <w:pPr>
              <w:spacing w:after="0"/>
              <w:rPr>
                <w:sz w:val="21"/>
                <w:szCs w:val="21"/>
                <w:color w:val="auto"/>
              </w:rPr>
            </w:pPr>
          </w:p>
        </w:tc>
        <w:tc>
          <w:tcPr>
            <w:tcW w:w="94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600" w:type="dxa"/>
            <w:vAlign w:val="bottom"/>
            <w:shd w:val="clear" w:color="auto" w:fill="C0C0C0"/>
          </w:tcPr>
          <w:p>
            <w:pPr>
              <w:spacing w:after="0"/>
              <w:rPr>
                <w:sz w:val="21"/>
                <w:szCs w:val="21"/>
                <w:color w:val="auto"/>
              </w:rPr>
            </w:pPr>
          </w:p>
        </w:tc>
        <w:tc>
          <w:tcPr>
            <w:tcW w:w="460" w:type="dxa"/>
            <w:vAlign w:val="bottom"/>
            <w:shd w:val="clear" w:color="auto" w:fill="C0C0C0"/>
          </w:tcPr>
          <w:p>
            <w:pPr>
              <w:spacing w:after="0"/>
              <w:rPr>
                <w:sz w:val="21"/>
                <w:szCs w:val="21"/>
                <w:color w:val="auto"/>
              </w:rPr>
            </w:pPr>
          </w:p>
        </w:tc>
        <w:tc>
          <w:tcPr>
            <w:tcW w:w="6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38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r>
      <w:tr>
        <w:trPr>
          <w:trHeight w:val="235"/>
        </w:trPr>
        <w:tc>
          <w:tcPr>
            <w:tcW w:w="4120" w:type="dxa"/>
            <w:vAlign w:val="bottom"/>
          </w:tcPr>
          <w:p>
            <w:pPr>
              <w:ind w:left="540"/>
              <w:spacing w:after="0"/>
              <w:rPr>
                <w:sz w:val="20"/>
                <w:szCs w:val="20"/>
                <w:color w:val="auto"/>
              </w:rPr>
            </w:pPr>
            <w:r>
              <w:rPr>
                <w:rFonts w:ascii="Arial" w:cs="Arial" w:eastAsia="Arial" w:hAnsi="Arial"/>
                <w:sz w:val="18"/>
                <w:szCs w:val="18"/>
                <w:color w:val="auto"/>
              </w:rPr>
              <w:t>Nonaccrual</w:t>
            </w:r>
          </w:p>
        </w:tc>
        <w:tc>
          <w:tcPr>
            <w:tcW w:w="2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1"/>
        </w:trPr>
        <w:tc>
          <w:tcPr>
            <w:tcW w:w="4120" w:type="dxa"/>
            <w:vAlign w:val="bottom"/>
            <w:shd w:val="clear" w:color="auto" w:fill="C0C0C0"/>
          </w:tcPr>
          <w:p>
            <w:pPr>
              <w:spacing w:after="0"/>
              <w:rPr>
                <w:sz w:val="20"/>
                <w:szCs w:val="20"/>
                <w:color w:val="auto"/>
              </w:rPr>
            </w:pPr>
            <w:r>
              <w:rPr>
                <w:rFonts w:ascii="Arial" w:cs="Arial" w:eastAsia="Arial" w:hAnsi="Arial"/>
                <w:sz w:val="18"/>
                <w:szCs w:val="18"/>
                <w:color w:val="auto"/>
              </w:rPr>
              <w:t>Real estate</w:t>
            </w:r>
          </w:p>
        </w:tc>
        <w:tc>
          <w:tcPr>
            <w:tcW w:w="2280" w:type="dxa"/>
            <w:vAlign w:val="bottom"/>
            <w:shd w:val="clear" w:color="auto" w:fill="C0C0C0"/>
          </w:tcPr>
          <w:p>
            <w:pPr>
              <w:spacing w:after="0"/>
              <w:rPr>
                <w:sz w:val="21"/>
                <w:szCs w:val="21"/>
                <w:color w:val="auto"/>
              </w:rPr>
            </w:pPr>
          </w:p>
        </w:tc>
        <w:tc>
          <w:tcPr>
            <w:tcW w:w="94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600" w:type="dxa"/>
            <w:vAlign w:val="bottom"/>
            <w:shd w:val="clear" w:color="auto" w:fill="C0C0C0"/>
          </w:tcPr>
          <w:p>
            <w:pPr>
              <w:spacing w:after="0"/>
              <w:rPr>
                <w:sz w:val="21"/>
                <w:szCs w:val="21"/>
                <w:color w:val="auto"/>
              </w:rPr>
            </w:pPr>
          </w:p>
        </w:tc>
        <w:tc>
          <w:tcPr>
            <w:tcW w:w="460" w:type="dxa"/>
            <w:vAlign w:val="bottom"/>
            <w:shd w:val="clear" w:color="auto" w:fill="C0C0C0"/>
          </w:tcPr>
          <w:p>
            <w:pPr>
              <w:spacing w:after="0"/>
              <w:rPr>
                <w:sz w:val="21"/>
                <w:szCs w:val="21"/>
                <w:color w:val="auto"/>
              </w:rPr>
            </w:pPr>
          </w:p>
        </w:tc>
        <w:tc>
          <w:tcPr>
            <w:tcW w:w="6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38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r>
      <w:tr>
        <w:trPr>
          <w:trHeight w:val="235"/>
        </w:trPr>
        <w:tc>
          <w:tcPr>
            <w:tcW w:w="4120" w:type="dxa"/>
            <w:vAlign w:val="bottom"/>
          </w:tcPr>
          <w:p>
            <w:pPr>
              <w:ind w:left="280"/>
              <w:spacing w:after="0"/>
              <w:rPr>
                <w:sz w:val="20"/>
                <w:szCs w:val="20"/>
                <w:color w:val="auto"/>
              </w:rPr>
            </w:pPr>
            <w:r>
              <w:rPr>
                <w:rFonts w:ascii="Arial" w:cs="Arial" w:eastAsia="Arial" w:hAnsi="Arial"/>
                <w:sz w:val="18"/>
                <w:szCs w:val="18"/>
                <w:color w:val="auto"/>
              </w:rPr>
              <w:t>Commercial – Mortgage:</w:t>
            </w:r>
          </w:p>
        </w:tc>
        <w:tc>
          <w:tcPr>
            <w:tcW w:w="2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51"/>
        </w:trPr>
        <w:tc>
          <w:tcPr>
            <w:tcW w:w="4120" w:type="dxa"/>
            <w:vAlign w:val="bottom"/>
            <w:shd w:val="clear" w:color="auto" w:fill="C0C0C0"/>
          </w:tcPr>
          <w:p>
            <w:pPr>
              <w:ind w:left="540"/>
              <w:spacing w:after="0"/>
              <w:rPr>
                <w:sz w:val="20"/>
                <w:szCs w:val="20"/>
                <w:color w:val="auto"/>
              </w:rPr>
            </w:pPr>
            <w:r>
              <w:rPr>
                <w:rFonts w:ascii="Arial" w:cs="Arial" w:eastAsia="Arial" w:hAnsi="Arial"/>
                <w:sz w:val="18"/>
                <w:szCs w:val="18"/>
                <w:color w:val="auto"/>
              </w:rPr>
              <w:t>Nonaccrual</w:t>
            </w:r>
          </w:p>
        </w:tc>
        <w:tc>
          <w:tcPr>
            <w:tcW w:w="2280" w:type="dxa"/>
            <w:vAlign w:val="bottom"/>
            <w:shd w:val="clear" w:color="auto" w:fill="C0C0C0"/>
          </w:tcPr>
          <w:p>
            <w:pPr>
              <w:spacing w:after="0"/>
              <w:rPr>
                <w:sz w:val="21"/>
                <w:szCs w:val="21"/>
                <w:color w:val="auto"/>
              </w:rPr>
            </w:pPr>
          </w:p>
        </w:tc>
        <w:tc>
          <w:tcPr>
            <w:tcW w:w="94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600" w:type="dxa"/>
            <w:vAlign w:val="bottom"/>
            <w:shd w:val="clear" w:color="auto" w:fill="C0C0C0"/>
          </w:tcPr>
          <w:p>
            <w:pPr>
              <w:spacing w:after="0"/>
              <w:rPr>
                <w:sz w:val="21"/>
                <w:szCs w:val="21"/>
                <w:color w:val="auto"/>
              </w:rPr>
            </w:pPr>
          </w:p>
        </w:tc>
        <w:tc>
          <w:tcPr>
            <w:tcW w:w="460" w:type="dxa"/>
            <w:vAlign w:val="bottom"/>
            <w:shd w:val="clear" w:color="auto" w:fill="C0C0C0"/>
          </w:tcPr>
          <w:p>
            <w:pPr>
              <w:spacing w:after="0"/>
              <w:rPr>
                <w:sz w:val="21"/>
                <w:szCs w:val="21"/>
                <w:color w:val="auto"/>
              </w:rPr>
            </w:pPr>
          </w:p>
        </w:tc>
        <w:tc>
          <w:tcPr>
            <w:tcW w:w="62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245</w:t>
            </w:r>
          </w:p>
        </w:tc>
        <w:tc>
          <w:tcPr>
            <w:tcW w:w="260" w:type="dxa"/>
            <w:vAlign w:val="bottom"/>
            <w:shd w:val="clear" w:color="auto" w:fill="C0C0C0"/>
          </w:tcPr>
          <w:p>
            <w:pPr>
              <w:spacing w:after="0"/>
              <w:rPr>
                <w:sz w:val="21"/>
                <w:szCs w:val="21"/>
                <w:color w:val="auto"/>
              </w:rPr>
            </w:pPr>
          </w:p>
        </w:tc>
        <w:tc>
          <w:tcPr>
            <w:tcW w:w="80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245</w:t>
            </w:r>
          </w:p>
        </w:tc>
        <w:tc>
          <w:tcPr>
            <w:tcW w:w="380" w:type="dxa"/>
            <w:vAlign w:val="bottom"/>
            <w:shd w:val="clear" w:color="auto" w:fill="C0C0C0"/>
          </w:tcPr>
          <w:p>
            <w:pPr>
              <w:spacing w:after="0"/>
              <w:rPr>
                <w:sz w:val="21"/>
                <w:szCs w:val="21"/>
                <w:color w:val="auto"/>
              </w:rPr>
            </w:pP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r>
      <w:tr>
        <w:trPr>
          <w:trHeight w:val="235"/>
        </w:trPr>
        <w:tc>
          <w:tcPr>
            <w:tcW w:w="4120" w:type="dxa"/>
            <w:vAlign w:val="bottom"/>
          </w:tcPr>
          <w:p>
            <w:pPr>
              <w:ind w:left="280"/>
              <w:spacing w:after="0"/>
              <w:rPr>
                <w:sz w:val="20"/>
                <w:szCs w:val="20"/>
                <w:color w:val="auto"/>
              </w:rPr>
            </w:pPr>
            <w:r>
              <w:rPr>
                <w:rFonts w:ascii="Arial" w:cs="Arial" w:eastAsia="Arial" w:hAnsi="Arial"/>
                <w:sz w:val="18"/>
                <w:szCs w:val="18"/>
                <w:color w:val="auto"/>
              </w:rPr>
              <w:t>Church – Mortgage:</w:t>
            </w:r>
          </w:p>
        </w:tc>
        <w:tc>
          <w:tcPr>
            <w:tcW w:w="2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44"/>
        </w:trPr>
        <w:tc>
          <w:tcPr>
            <w:tcW w:w="4120" w:type="dxa"/>
            <w:vAlign w:val="bottom"/>
            <w:tcBorders>
              <w:bottom w:val="single" w:sz="8" w:color="auto"/>
            </w:tcBorders>
            <w:shd w:val="clear" w:color="auto" w:fill="C0C0C0"/>
          </w:tcPr>
          <w:p>
            <w:pPr>
              <w:ind w:left="540"/>
              <w:spacing w:after="0"/>
              <w:rPr>
                <w:sz w:val="20"/>
                <w:szCs w:val="20"/>
                <w:color w:val="auto"/>
              </w:rPr>
            </w:pPr>
            <w:r>
              <w:rPr>
                <w:rFonts w:ascii="Arial" w:cs="Arial" w:eastAsia="Arial" w:hAnsi="Arial"/>
                <w:sz w:val="18"/>
                <w:szCs w:val="18"/>
                <w:color w:val="auto"/>
              </w:rPr>
              <w:t>Nonaccrual</w:t>
            </w:r>
          </w:p>
        </w:tc>
        <w:tc>
          <w:tcPr>
            <w:tcW w:w="2280" w:type="dxa"/>
            <w:vAlign w:val="bottom"/>
            <w:tcBorders>
              <w:bottom w:val="single" w:sz="8" w:color="auto"/>
            </w:tcBorders>
            <w:shd w:val="clear" w:color="auto" w:fill="C0C0C0"/>
          </w:tcPr>
          <w:p>
            <w:pPr>
              <w:spacing w:after="0"/>
              <w:rPr>
                <w:sz w:val="21"/>
                <w:szCs w:val="21"/>
                <w:color w:val="auto"/>
              </w:rPr>
            </w:pPr>
          </w:p>
        </w:tc>
        <w:tc>
          <w:tcPr>
            <w:tcW w:w="940" w:type="dxa"/>
            <w:vAlign w:val="bottom"/>
            <w:tcBorders>
              <w:bottom w:val="single" w:sz="8" w:color="auto"/>
            </w:tcBorders>
            <w:shd w:val="clear" w:color="auto" w:fill="C0C0C0"/>
          </w:tcPr>
          <w:p>
            <w:pPr>
              <w:spacing w:after="0"/>
              <w:rPr>
                <w:sz w:val="21"/>
                <w:szCs w:val="21"/>
                <w:color w:val="auto"/>
              </w:rPr>
            </w:pPr>
          </w:p>
        </w:tc>
        <w:tc>
          <w:tcPr>
            <w:tcW w:w="260" w:type="dxa"/>
            <w:vAlign w:val="bottom"/>
            <w:tcBorders>
              <w:bottom w:val="single" w:sz="8" w:color="auto"/>
            </w:tcBorders>
            <w:shd w:val="clear" w:color="auto" w:fill="C0C0C0"/>
          </w:tcPr>
          <w:p>
            <w:pPr>
              <w:spacing w:after="0"/>
              <w:rPr>
                <w:sz w:val="21"/>
                <w:szCs w:val="21"/>
                <w:color w:val="auto"/>
              </w:rPr>
            </w:pPr>
          </w:p>
        </w:tc>
        <w:tc>
          <w:tcPr>
            <w:tcW w:w="600" w:type="dxa"/>
            <w:vAlign w:val="bottom"/>
            <w:tcBorders>
              <w:bottom w:val="single" w:sz="8" w:color="auto"/>
            </w:tcBorders>
            <w:shd w:val="clear" w:color="auto" w:fill="C0C0C0"/>
          </w:tcPr>
          <w:p>
            <w:pPr>
              <w:spacing w:after="0"/>
              <w:rPr>
                <w:sz w:val="21"/>
                <w:szCs w:val="21"/>
                <w:color w:val="auto"/>
              </w:rPr>
            </w:pPr>
          </w:p>
        </w:tc>
        <w:tc>
          <w:tcPr>
            <w:tcW w:w="460" w:type="dxa"/>
            <w:vAlign w:val="bottom"/>
            <w:tcBorders>
              <w:bottom w:val="single" w:sz="8" w:color="auto"/>
            </w:tcBorders>
            <w:shd w:val="clear" w:color="auto" w:fill="C0C0C0"/>
          </w:tcPr>
          <w:p>
            <w:pPr>
              <w:spacing w:after="0"/>
              <w:rPr>
                <w:sz w:val="21"/>
                <w:szCs w:val="21"/>
                <w:color w:val="auto"/>
              </w:rPr>
            </w:pPr>
          </w:p>
        </w:tc>
        <w:tc>
          <w:tcPr>
            <w:tcW w:w="620" w:type="dxa"/>
            <w:vAlign w:val="bottom"/>
            <w:tcBorders>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0C0C0"/>
          </w:tcPr>
          <w:p>
            <w:pPr>
              <w:spacing w:after="0"/>
              <w:rPr>
                <w:sz w:val="21"/>
                <w:szCs w:val="21"/>
                <w:color w:val="auto"/>
              </w:rPr>
            </w:pPr>
          </w:p>
        </w:tc>
        <w:tc>
          <w:tcPr>
            <w:tcW w:w="800" w:type="dxa"/>
            <w:vAlign w:val="bottom"/>
            <w:tcBorders>
              <w:bottom w:val="single" w:sz="8" w:color="auto"/>
            </w:tcBorders>
            <w:shd w:val="clear" w:color="auto" w:fill="C0C0C0"/>
          </w:tcPr>
          <w:p>
            <w:pPr>
              <w:jc w:val="right"/>
              <w:ind w:right="15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0C0C0"/>
          </w:tcPr>
          <w:p>
            <w:pPr>
              <w:spacing w:after="0"/>
              <w:rPr>
                <w:sz w:val="21"/>
                <w:szCs w:val="21"/>
                <w:color w:val="auto"/>
              </w:rPr>
            </w:pPr>
          </w:p>
        </w:tc>
        <w:tc>
          <w:tcPr>
            <w:tcW w:w="7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impaired loans</w:t>
            </w:r>
          </w:p>
        </w:tc>
        <w:tc>
          <w:tcPr>
            <w:tcW w:w="2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245</w:t>
            </w:r>
          </w:p>
        </w:tc>
        <w:tc>
          <w:tcPr>
            <w:tcW w:w="2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245</w:t>
            </w: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430"/>
        </w:trPr>
        <w:tc>
          <w:tcPr>
            <w:tcW w:w="8200" w:type="dxa"/>
            <w:vAlign w:val="bottom"/>
            <w:gridSpan w:val="5"/>
          </w:tcPr>
          <w:p>
            <w:pPr>
              <w:spacing w:after="0"/>
              <w:rPr>
                <w:sz w:val="20"/>
                <w:szCs w:val="20"/>
                <w:color w:val="auto"/>
              </w:rPr>
            </w:pPr>
            <w:r>
              <w:rPr>
                <w:rFonts w:ascii="Arial" w:cs="Arial" w:eastAsia="Arial" w:hAnsi="Arial"/>
                <w:sz w:val="18"/>
                <w:szCs w:val="18"/>
                <w:color w:val="auto"/>
                <w:w w:val="90"/>
              </w:rPr>
              <w:t>A summary of the activity in the allowance for loan losses from December 31, 2016 to June 30, 2017 is as follows:</w:t>
            </w: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446"/>
        </w:trPr>
        <w:tc>
          <w:tcPr>
            <w:tcW w:w="4120" w:type="dxa"/>
            <w:vAlign w:val="bottom"/>
          </w:tcPr>
          <w:p>
            <w:pPr>
              <w:spacing w:after="0"/>
              <w:rPr>
                <w:sz w:val="24"/>
                <w:szCs w:val="24"/>
                <w:color w:val="auto"/>
              </w:rPr>
            </w:pPr>
          </w:p>
        </w:tc>
        <w:tc>
          <w:tcPr>
            <w:tcW w:w="3220" w:type="dxa"/>
            <w:vAlign w:val="bottom"/>
            <w:gridSpan w:val="2"/>
          </w:tcPr>
          <w:p>
            <w:pPr>
              <w:ind w:left="2060"/>
              <w:spacing w:after="0"/>
              <w:rPr>
                <w:sz w:val="20"/>
                <w:szCs w:val="20"/>
                <w:color w:val="auto"/>
              </w:rPr>
            </w:pPr>
            <w:r>
              <w:rPr>
                <w:rFonts w:ascii="Arial" w:cs="Arial" w:eastAsia="Arial" w:hAnsi="Arial"/>
                <w:sz w:val="18"/>
                <w:szCs w:val="18"/>
                <w:b w:val="1"/>
                <w:bCs w:val="1"/>
                <w:color w:val="auto"/>
                <w:w w:val="97"/>
              </w:rPr>
              <w:t>December 31,</w:t>
            </w:r>
          </w:p>
        </w:tc>
        <w:tc>
          <w:tcPr>
            <w:tcW w:w="860" w:type="dxa"/>
            <w:vAlign w:val="bottom"/>
            <w:gridSpan w:val="2"/>
          </w:tcPr>
          <w:p>
            <w:pPr>
              <w:jc w:val="right"/>
              <w:ind w:right="12"/>
              <w:spacing w:after="0"/>
              <w:rPr>
                <w:sz w:val="20"/>
                <w:szCs w:val="20"/>
                <w:color w:val="auto"/>
              </w:rPr>
            </w:pPr>
            <w:r>
              <w:rPr>
                <w:rFonts w:ascii="Arial" w:cs="Arial" w:eastAsia="Arial" w:hAnsi="Arial"/>
                <w:sz w:val="18"/>
                <w:szCs w:val="18"/>
                <w:b w:val="1"/>
                <w:bCs w:val="1"/>
                <w:color w:val="auto"/>
              </w:rPr>
              <w:t>Charge-</w:t>
            </w: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83"/>
              </w:rPr>
              <w:t>June 30,</w:t>
            </w:r>
          </w:p>
        </w:tc>
      </w:tr>
      <w:tr>
        <w:trPr>
          <w:trHeight w:val="252"/>
        </w:trPr>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2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2016</w:t>
            </w:r>
          </w:p>
        </w:tc>
        <w:tc>
          <w:tcPr>
            <w:tcW w:w="2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88"/>
              </w:rPr>
              <w:t>Offs</w:t>
            </w:r>
          </w:p>
        </w:tc>
        <w:tc>
          <w:tcPr>
            <w:tcW w:w="108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8"/>
                <w:szCs w:val="18"/>
                <w:b w:val="1"/>
                <w:bCs w:val="1"/>
                <w:color w:val="auto"/>
                <w:w w:val="99"/>
              </w:rPr>
              <w:t>Recoveries</w:t>
            </w:r>
          </w:p>
        </w:tc>
        <w:tc>
          <w:tcPr>
            <w:tcW w:w="2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Provision</w:t>
            </w:r>
          </w:p>
        </w:tc>
        <w:tc>
          <w:tcPr>
            <w:tcW w:w="3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2017</w:t>
            </w:r>
          </w:p>
        </w:tc>
      </w:tr>
      <w:tr>
        <w:trPr>
          <w:trHeight w:val="243"/>
        </w:trPr>
        <w:tc>
          <w:tcPr>
            <w:tcW w:w="4120" w:type="dxa"/>
            <w:vAlign w:val="bottom"/>
            <w:shd w:val="clear" w:color="auto" w:fill="C0C0C0"/>
          </w:tcPr>
          <w:p>
            <w:pPr>
              <w:spacing w:after="0"/>
              <w:rPr>
                <w:sz w:val="20"/>
                <w:szCs w:val="20"/>
                <w:color w:val="auto"/>
              </w:rPr>
            </w:pPr>
            <w:r>
              <w:rPr>
                <w:rFonts w:ascii="Arial" w:cs="Arial" w:eastAsia="Arial" w:hAnsi="Arial"/>
                <w:sz w:val="18"/>
                <w:szCs w:val="18"/>
                <w:color w:val="auto"/>
              </w:rPr>
              <w:t>Commercial and industrial</w:t>
            </w:r>
          </w:p>
        </w:tc>
        <w:tc>
          <w:tcPr>
            <w:tcW w:w="2280" w:type="dxa"/>
            <w:vAlign w:val="bottom"/>
            <w:shd w:val="clear" w:color="auto" w:fill="C0C0C0"/>
          </w:tcPr>
          <w:p>
            <w:pPr>
              <w:ind w:left="20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3,261</w:t>
            </w:r>
          </w:p>
        </w:tc>
        <w:tc>
          <w:tcPr>
            <w:tcW w:w="2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460" w:type="dxa"/>
            <w:vAlign w:val="bottom"/>
            <w:shd w:val="clear" w:color="auto" w:fill="C0C0C0"/>
          </w:tcPr>
          <w:p>
            <w:pPr>
              <w:ind w:left="1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21</w:t>
            </w:r>
          </w:p>
        </w:tc>
        <w:tc>
          <w:tcPr>
            <w:tcW w:w="260" w:type="dxa"/>
            <w:vAlign w:val="bottom"/>
            <w:shd w:val="clear" w:color="auto" w:fill="C0C0C0"/>
          </w:tcPr>
          <w:p>
            <w:pPr>
              <w:ind w:left="16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144</w:t>
            </w:r>
          </w:p>
        </w:tc>
        <w:tc>
          <w:tcPr>
            <w:tcW w:w="380" w:type="dxa"/>
            <w:vAlign w:val="bottom"/>
            <w:shd w:val="clear" w:color="auto" w:fill="C0C0C0"/>
          </w:tcPr>
          <w:p>
            <w:pPr>
              <w:ind w:left="28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3,426</w:t>
            </w:r>
          </w:p>
        </w:tc>
      </w:tr>
      <w:tr>
        <w:trPr>
          <w:trHeight w:val="235"/>
        </w:trPr>
        <w:tc>
          <w:tcPr>
            <w:tcW w:w="4120" w:type="dxa"/>
            <w:vAlign w:val="bottom"/>
          </w:tcPr>
          <w:p>
            <w:pPr>
              <w:spacing w:after="0"/>
              <w:rPr>
                <w:sz w:val="20"/>
                <w:szCs w:val="20"/>
                <w:color w:val="auto"/>
              </w:rPr>
            </w:pPr>
            <w:r>
              <w:rPr>
                <w:rFonts w:ascii="Arial" w:cs="Arial" w:eastAsia="Arial" w:hAnsi="Arial"/>
                <w:sz w:val="18"/>
                <w:szCs w:val="18"/>
                <w:color w:val="auto"/>
              </w:rPr>
              <w:t>Real estate</w:t>
            </w:r>
          </w:p>
        </w:tc>
        <w:tc>
          <w:tcPr>
            <w:tcW w:w="2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51"/>
        </w:trPr>
        <w:tc>
          <w:tcPr>
            <w:tcW w:w="4120" w:type="dxa"/>
            <w:vAlign w:val="bottom"/>
            <w:shd w:val="clear" w:color="auto" w:fill="C0C0C0"/>
          </w:tcPr>
          <w:p>
            <w:pPr>
              <w:ind w:left="280"/>
              <w:spacing w:after="0"/>
              <w:rPr>
                <w:sz w:val="20"/>
                <w:szCs w:val="20"/>
                <w:color w:val="auto"/>
              </w:rPr>
            </w:pPr>
            <w:r>
              <w:rPr>
                <w:rFonts w:ascii="Arial" w:cs="Arial" w:eastAsia="Arial" w:hAnsi="Arial"/>
                <w:sz w:val="18"/>
                <w:szCs w:val="18"/>
                <w:color w:val="auto"/>
              </w:rPr>
              <w:t>Commercial:</w:t>
            </w:r>
          </w:p>
        </w:tc>
        <w:tc>
          <w:tcPr>
            <w:tcW w:w="2280" w:type="dxa"/>
            <w:vAlign w:val="bottom"/>
            <w:shd w:val="clear" w:color="auto" w:fill="C0C0C0"/>
          </w:tcPr>
          <w:p>
            <w:pPr>
              <w:spacing w:after="0"/>
              <w:rPr>
                <w:sz w:val="21"/>
                <w:szCs w:val="21"/>
                <w:color w:val="auto"/>
              </w:rPr>
            </w:pPr>
          </w:p>
        </w:tc>
        <w:tc>
          <w:tcPr>
            <w:tcW w:w="94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600" w:type="dxa"/>
            <w:vAlign w:val="bottom"/>
            <w:shd w:val="clear" w:color="auto" w:fill="C0C0C0"/>
          </w:tcPr>
          <w:p>
            <w:pPr>
              <w:spacing w:after="0"/>
              <w:rPr>
                <w:sz w:val="21"/>
                <w:szCs w:val="21"/>
                <w:color w:val="auto"/>
              </w:rPr>
            </w:pPr>
          </w:p>
        </w:tc>
        <w:tc>
          <w:tcPr>
            <w:tcW w:w="460" w:type="dxa"/>
            <w:vAlign w:val="bottom"/>
            <w:shd w:val="clear" w:color="auto" w:fill="C0C0C0"/>
          </w:tcPr>
          <w:p>
            <w:pPr>
              <w:spacing w:after="0"/>
              <w:rPr>
                <w:sz w:val="21"/>
                <w:szCs w:val="21"/>
                <w:color w:val="auto"/>
              </w:rPr>
            </w:pPr>
          </w:p>
        </w:tc>
        <w:tc>
          <w:tcPr>
            <w:tcW w:w="6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38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r>
      <w:tr>
        <w:trPr>
          <w:trHeight w:val="235"/>
        </w:trPr>
        <w:tc>
          <w:tcPr>
            <w:tcW w:w="4120" w:type="dxa"/>
            <w:vAlign w:val="bottom"/>
          </w:tcPr>
          <w:p>
            <w:pPr>
              <w:ind w:left="540"/>
              <w:spacing w:after="0"/>
              <w:rPr>
                <w:sz w:val="20"/>
                <w:szCs w:val="20"/>
                <w:color w:val="auto"/>
              </w:rPr>
            </w:pPr>
            <w:r>
              <w:rPr>
                <w:rFonts w:ascii="Arial" w:cs="Arial" w:eastAsia="Arial" w:hAnsi="Arial"/>
                <w:sz w:val="18"/>
                <w:szCs w:val="18"/>
                <w:color w:val="auto"/>
              </w:rPr>
              <w:t>Mortgage</w:t>
            </w:r>
          </w:p>
        </w:tc>
        <w:tc>
          <w:tcPr>
            <w:tcW w:w="2280" w:type="dxa"/>
            <w:vAlign w:val="bottom"/>
          </w:tcPr>
          <w:p>
            <w:pPr>
              <w:spacing w:after="0"/>
              <w:rPr>
                <w:sz w:val="20"/>
                <w:szCs w:val="20"/>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1,662</w:t>
            </w:r>
          </w:p>
        </w:tc>
        <w:tc>
          <w:tcPr>
            <w:tcW w:w="260" w:type="dxa"/>
            <w:vAlign w:val="bottom"/>
          </w:tcPr>
          <w:p>
            <w:pPr>
              <w:spacing w:after="0"/>
              <w:rPr>
                <w:sz w:val="20"/>
                <w:szCs w:val="20"/>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(164)</w:t>
            </w:r>
          </w:p>
        </w:tc>
        <w:tc>
          <w:tcPr>
            <w:tcW w:w="3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1,498</w:t>
            </w:r>
          </w:p>
        </w:tc>
      </w:tr>
      <w:tr>
        <w:trPr>
          <w:trHeight w:val="251"/>
        </w:trPr>
        <w:tc>
          <w:tcPr>
            <w:tcW w:w="4120" w:type="dxa"/>
            <w:vAlign w:val="bottom"/>
            <w:shd w:val="clear" w:color="auto" w:fill="C0C0C0"/>
          </w:tcPr>
          <w:p>
            <w:pPr>
              <w:ind w:left="540"/>
              <w:spacing w:after="0"/>
              <w:rPr>
                <w:sz w:val="20"/>
                <w:szCs w:val="20"/>
                <w:color w:val="auto"/>
              </w:rPr>
            </w:pPr>
            <w:r>
              <w:rPr>
                <w:rFonts w:ascii="Arial" w:cs="Arial" w:eastAsia="Arial" w:hAnsi="Arial"/>
                <w:sz w:val="18"/>
                <w:szCs w:val="18"/>
                <w:color w:val="auto"/>
              </w:rPr>
              <w:t>Construction</w:t>
            </w:r>
          </w:p>
        </w:tc>
        <w:tc>
          <w:tcPr>
            <w:tcW w:w="228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47</w:t>
            </w:r>
          </w:p>
        </w:tc>
        <w:tc>
          <w:tcPr>
            <w:tcW w:w="260" w:type="dxa"/>
            <w:vAlign w:val="bottom"/>
            <w:shd w:val="clear" w:color="auto" w:fill="C0C0C0"/>
          </w:tcPr>
          <w:p>
            <w:pPr>
              <w:spacing w:after="0"/>
              <w:rPr>
                <w:sz w:val="21"/>
                <w:szCs w:val="21"/>
                <w:color w:val="auto"/>
              </w:rPr>
            </w:pPr>
          </w:p>
        </w:tc>
        <w:tc>
          <w:tcPr>
            <w:tcW w:w="6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460" w:type="dxa"/>
            <w:vAlign w:val="bottom"/>
            <w:shd w:val="clear" w:color="auto" w:fill="C0C0C0"/>
          </w:tcPr>
          <w:p>
            <w:pPr>
              <w:spacing w:after="0"/>
              <w:rPr>
                <w:sz w:val="21"/>
                <w:szCs w:val="21"/>
                <w:color w:val="auto"/>
              </w:rPr>
            </w:pPr>
          </w:p>
        </w:tc>
        <w:tc>
          <w:tcPr>
            <w:tcW w:w="6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shd w:val="clear" w:color="auto" w:fill="C0C0C0"/>
          </w:tcPr>
          <w:p>
            <w:pPr>
              <w:spacing w:after="0"/>
              <w:rPr>
                <w:sz w:val="21"/>
                <w:szCs w:val="21"/>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16</w:t>
            </w:r>
          </w:p>
        </w:tc>
        <w:tc>
          <w:tcPr>
            <w:tcW w:w="380" w:type="dxa"/>
            <w:vAlign w:val="bottom"/>
            <w:shd w:val="clear" w:color="auto" w:fill="C0C0C0"/>
          </w:tcPr>
          <w:p>
            <w:pPr>
              <w:spacing w:after="0"/>
              <w:rPr>
                <w:sz w:val="21"/>
                <w:szCs w:val="21"/>
                <w:color w:val="auto"/>
              </w:rPr>
            </w:pP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63</w:t>
            </w:r>
          </w:p>
        </w:tc>
      </w:tr>
      <w:tr>
        <w:trPr>
          <w:trHeight w:val="235"/>
        </w:trPr>
        <w:tc>
          <w:tcPr>
            <w:tcW w:w="4120" w:type="dxa"/>
            <w:vAlign w:val="bottom"/>
          </w:tcPr>
          <w:p>
            <w:pPr>
              <w:ind w:left="280"/>
              <w:spacing w:after="0"/>
              <w:rPr>
                <w:sz w:val="20"/>
                <w:szCs w:val="20"/>
                <w:color w:val="auto"/>
              </w:rPr>
            </w:pPr>
            <w:r>
              <w:rPr>
                <w:rFonts w:ascii="Arial" w:cs="Arial" w:eastAsia="Arial" w:hAnsi="Arial"/>
                <w:sz w:val="18"/>
                <w:szCs w:val="18"/>
                <w:color w:val="auto"/>
              </w:rPr>
              <w:t>Church, church-related:</w:t>
            </w:r>
          </w:p>
        </w:tc>
        <w:tc>
          <w:tcPr>
            <w:tcW w:w="2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51"/>
        </w:trPr>
        <w:tc>
          <w:tcPr>
            <w:tcW w:w="4120" w:type="dxa"/>
            <w:vAlign w:val="bottom"/>
            <w:shd w:val="clear" w:color="auto" w:fill="C0C0C0"/>
          </w:tcPr>
          <w:p>
            <w:pPr>
              <w:ind w:left="540"/>
              <w:spacing w:after="0"/>
              <w:rPr>
                <w:sz w:val="20"/>
                <w:szCs w:val="20"/>
                <w:color w:val="auto"/>
              </w:rPr>
            </w:pPr>
            <w:r>
              <w:rPr>
                <w:rFonts w:ascii="Arial" w:cs="Arial" w:eastAsia="Arial" w:hAnsi="Arial"/>
                <w:sz w:val="18"/>
                <w:szCs w:val="18"/>
                <w:color w:val="auto"/>
              </w:rPr>
              <w:t>Mortgage</w:t>
            </w:r>
          </w:p>
        </w:tc>
        <w:tc>
          <w:tcPr>
            <w:tcW w:w="228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4,027</w:t>
            </w:r>
          </w:p>
        </w:tc>
        <w:tc>
          <w:tcPr>
            <w:tcW w:w="260" w:type="dxa"/>
            <w:vAlign w:val="bottom"/>
            <w:shd w:val="clear" w:color="auto" w:fill="C0C0C0"/>
          </w:tcPr>
          <w:p>
            <w:pPr>
              <w:spacing w:after="0"/>
              <w:rPr>
                <w:sz w:val="21"/>
                <w:szCs w:val="21"/>
                <w:color w:val="auto"/>
              </w:rPr>
            </w:pPr>
          </w:p>
        </w:tc>
        <w:tc>
          <w:tcPr>
            <w:tcW w:w="6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460" w:type="dxa"/>
            <w:vAlign w:val="bottom"/>
            <w:shd w:val="clear" w:color="auto" w:fill="C0C0C0"/>
          </w:tcPr>
          <w:p>
            <w:pPr>
              <w:spacing w:after="0"/>
              <w:rPr>
                <w:sz w:val="21"/>
                <w:szCs w:val="21"/>
                <w:color w:val="auto"/>
              </w:rPr>
            </w:pPr>
          </w:p>
        </w:tc>
        <w:tc>
          <w:tcPr>
            <w:tcW w:w="6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shd w:val="clear" w:color="auto" w:fill="C0C0C0"/>
          </w:tcPr>
          <w:p>
            <w:pPr>
              <w:spacing w:after="0"/>
              <w:rPr>
                <w:sz w:val="21"/>
                <w:szCs w:val="21"/>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61</w:t>
            </w:r>
          </w:p>
        </w:tc>
        <w:tc>
          <w:tcPr>
            <w:tcW w:w="380" w:type="dxa"/>
            <w:vAlign w:val="bottom"/>
            <w:shd w:val="clear" w:color="auto" w:fill="C0C0C0"/>
          </w:tcPr>
          <w:p>
            <w:pPr>
              <w:spacing w:after="0"/>
              <w:rPr>
                <w:sz w:val="21"/>
                <w:szCs w:val="21"/>
                <w:color w:val="auto"/>
              </w:rPr>
            </w:pP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4,088</w:t>
            </w:r>
          </w:p>
        </w:tc>
      </w:tr>
      <w:tr>
        <w:trPr>
          <w:trHeight w:val="235"/>
        </w:trPr>
        <w:tc>
          <w:tcPr>
            <w:tcW w:w="4120" w:type="dxa"/>
            <w:vAlign w:val="bottom"/>
          </w:tcPr>
          <w:p>
            <w:pPr>
              <w:ind w:left="540"/>
              <w:spacing w:after="0"/>
              <w:rPr>
                <w:sz w:val="20"/>
                <w:szCs w:val="20"/>
                <w:color w:val="auto"/>
              </w:rPr>
            </w:pPr>
            <w:r>
              <w:rPr>
                <w:rFonts w:ascii="Arial" w:cs="Arial" w:eastAsia="Arial" w:hAnsi="Arial"/>
                <w:sz w:val="18"/>
                <w:szCs w:val="18"/>
                <w:color w:val="auto"/>
              </w:rPr>
              <w:t>Construction</w:t>
            </w:r>
          </w:p>
        </w:tc>
        <w:tc>
          <w:tcPr>
            <w:tcW w:w="2280" w:type="dxa"/>
            <w:vAlign w:val="bottom"/>
          </w:tcPr>
          <w:p>
            <w:pPr>
              <w:spacing w:after="0"/>
              <w:rPr>
                <w:sz w:val="20"/>
                <w:szCs w:val="20"/>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85</w:t>
            </w:r>
          </w:p>
        </w:tc>
        <w:tc>
          <w:tcPr>
            <w:tcW w:w="260" w:type="dxa"/>
            <w:vAlign w:val="bottom"/>
          </w:tcPr>
          <w:p>
            <w:pPr>
              <w:spacing w:after="0"/>
              <w:rPr>
                <w:sz w:val="20"/>
                <w:szCs w:val="20"/>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w:t>
            </w:r>
          </w:p>
        </w:tc>
        <w:tc>
          <w:tcPr>
            <w:tcW w:w="3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51"/>
        </w:trPr>
        <w:tc>
          <w:tcPr>
            <w:tcW w:w="4120" w:type="dxa"/>
            <w:vAlign w:val="bottom"/>
            <w:shd w:val="clear" w:color="auto" w:fill="C0C0C0"/>
          </w:tcPr>
          <w:p>
            <w:pPr>
              <w:spacing w:after="0"/>
              <w:rPr>
                <w:sz w:val="20"/>
                <w:szCs w:val="20"/>
                <w:color w:val="auto"/>
              </w:rPr>
            </w:pPr>
            <w:r>
              <w:rPr>
                <w:rFonts w:ascii="Arial" w:cs="Arial" w:eastAsia="Arial" w:hAnsi="Arial"/>
                <w:sz w:val="18"/>
                <w:szCs w:val="18"/>
                <w:color w:val="auto"/>
              </w:rPr>
              <w:t>Industrial Revenue Bonds</w:t>
            </w:r>
          </w:p>
        </w:tc>
        <w:tc>
          <w:tcPr>
            <w:tcW w:w="228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101</w:t>
            </w:r>
          </w:p>
        </w:tc>
        <w:tc>
          <w:tcPr>
            <w:tcW w:w="260" w:type="dxa"/>
            <w:vAlign w:val="bottom"/>
            <w:shd w:val="clear" w:color="auto" w:fill="C0C0C0"/>
          </w:tcPr>
          <w:p>
            <w:pPr>
              <w:spacing w:after="0"/>
              <w:rPr>
                <w:sz w:val="21"/>
                <w:szCs w:val="21"/>
                <w:color w:val="auto"/>
              </w:rPr>
            </w:pPr>
          </w:p>
        </w:tc>
        <w:tc>
          <w:tcPr>
            <w:tcW w:w="6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460" w:type="dxa"/>
            <w:vAlign w:val="bottom"/>
            <w:shd w:val="clear" w:color="auto" w:fill="C0C0C0"/>
          </w:tcPr>
          <w:p>
            <w:pPr>
              <w:spacing w:after="0"/>
              <w:rPr>
                <w:sz w:val="21"/>
                <w:szCs w:val="21"/>
                <w:color w:val="auto"/>
              </w:rPr>
            </w:pPr>
          </w:p>
        </w:tc>
        <w:tc>
          <w:tcPr>
            <w:tcW w:w="6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shd w:val="clear" w:color="auto" w:fill="C0C0C0"/>
          </w:tcPr>
          <w:p>
            <w:pPr>
              <w:spacing w:after="0"/>
              <w:rPr>
                <w:sz w:val="21"/>
                <w:szCs w:val="21"/>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(25)</w:t>
            </w:r>
          </w:p>
        </w:tc>
        <w:tc>
          <w:tcPr>
            <w:tcW w:w="380" w:type="dxa"/>
            <w:vAlign w:val="bottom"/>
            <w:shd w:val="clear" w:color="auto" w:fill="C0C0C0"/>
          </w:tcPr>
          <w:p>
            <w:pPr>
              <w:spacing w:after="0"/>
              <w:rPr>
                <w:sz w:val="21"/>
                <w:szCs w:val="21"/>
                <w:color w:val="auto"/>
              </w:rPr>
            </w:pP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76</w:t>
            </w:r>
          </w:p>
        </w:tc>
      </w:tr>
      <w:tr>
        <w:trPr>
          <w:trHeight w:val="237"/>
        </w:trPr>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2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992</w:t>
            </w:r>
          </w:p>
        </w:tc>
        <w:tc>
          <w:tcPr>
            <w:tcW w:w="2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3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w:t>
            </w:r>
          </w:p>
        </w:tc>
      </w:tr>
      <w:tr>
        <w:trPr>
          <w:trHeight w:val="237"/>
        </w:trPr>
        <w:tc>
          <w:tcPr>
            <w:tcW w:w="412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Total</w:t>
            </w:r>
          </w:p>
        </w:tc>
        <w:tc>
          <w:tcPr>
            <w:tcW w:w="2280" w:type="dxa"/>
            <w:vAlign w:val="bottom"/>
            <w:tcBorders>
              <w:bottom w:val="single" w:sz="8" w:color="auto"/>
            </w:tcBorders>
            <w:shd w:val="clear" w:color="auto" w:fill="C0C0C0"/>
          </w:tcPr>
          <w:p>
            <w:pPr>
              <w:ind w:left="206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10,175</w:t>
            </w:r>
          </w:p>
        </w:tc>
        <w:tc>
          <w:tcPr>
            <w:tcW w:w="2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0C0C0"/>
          </w:tcPr>
          <w:p>
            <w:pPr>
              <w:ind w:left="16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21</w:t>
            </w:r>
          </w:p>
        </w:tc>
        <w:tc>
          <w:tcPr>
            <w:tcW w:w="260" w:type="dxa"/>
            <w:vAlign w:val="bottom"/>
            <w:tcBorders>
              <w:bottom w:val="single" w:sz="8" w:color="auto"/>
            </w:tcBorders>
            <w:shd w:val="clear" w:color="auto" w:fill="C0C0C0"/>
          </w:tcPr>
          <w:p>
            <w:pPr>
              <w:ind w:left="16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0C0C0"/>
          </w:tcPr>
          <w:p>
            <w:pPr>
              <w:ind w:left="28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10,196</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activity in the allowance for loan losses from December 31, 2015 to June 30, 2016 is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760" w:type="dxa"/>
            <w:vAlign w:val="bottom"/>
          </w:tcPr>
          <w:p>
            <w:pPr>
              <w:spacing w:after="0"/>
              <w:rPr>
                <w:sz w:val="19"/>
                <w:szCs w:val="19"/>
                <w:color w:val="auto"/>
              </w:rPr>
            </w:pPr>
          </w:p>
        </w:tc>
        <w:tc>
          <w:tcPr>
            <w:tcW w:w="3580" w:type="dxa"/>
            <w:vAlign w:val="bottom"/>
            <w:gridSpan w:val="2"/>
          </w:tcPr>
          <w:p>
            <w:pPr>
              <w:ind w:left="2420"/>
              <w:spacing w:after="0"/>
              <w:rPr>
                <w:sz w:val="20"/>
                <w:szCs w:val="20"/>
                <w:color w:val="auto"/>
              </w:rPr>
            </w:pPr>
            <w:r>
              <w:rPr>
                <w:rFonts w:ascii="Arial" w:cs="Arial" w:eastAsia="Arial" w:hAnsi="Arial"/>
                <w:sz w:val="18"/>
                <w:szCs w:val="18"/>
                <w:b w:val="1"/>
                <w:bCs w:val="1"/>
                <w:color w:val="auto"/>
                <w:w w:val="97"/>
              </w:rPr>
              <w:t>December 31,</w:t>
            </w:r>
          </w:p>
        </w:tc>
        <w:tc>
          <w:tcPr>
            <w:tcW w:w="900" w:type="dxa"/>
            <w:vAlign w:val="bottom"/>
            <w:gridSpan w:val="2"/>
          </w:tcPr>
          <w:p>
            <w:pPr>
              <w:jc w:val="right"/>
              <w:ind w:right="52"/>
              <w:spacing w:after="0"/>
              <w:rPr>
                <w:sz w:val="20"/>
                <w:szCs w:val="20"/>
                <w:color w:val="auto"/>
              </w:rPr>
            </w:pPr>
            <w:r>
              <w:rPr>
                <w:rFonts w:ascii="Arial" w:cs="Arial" w:eastAsia="Arial" w:hAnsi="Arial"/>
                <w:sz w:val="18"/>
                <w:szCs w:val="18"/>
                <w:b w:val="1"/>
                <w:bCs w:val="1"/>
                <w:color w:val="auto"/>
              </w:rPr>
              <w:t>Charge-</w:t>
            </w: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83"/>
              </w:rPr>
              <w:t>June 30,</w:t>
            </w:r>
          </w:p>
        </w:tc>
      </w:tr>
      <w:tr>
        <w:trPr>
          <w:trHeight w:val="252"/>
        </w:trPr>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26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2015</w:t>
            </w:r>
          </w:p>
        </w:tc>
        <w:tc>
          <w:tcPr>
            <w:tcW w:w="2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w w:val="88"/>
              </w:rPr>
              <w:t>Offs</w:t>
            </w:r>
          </w:p>
        </w:tc>
        <w:tc>
          <w:tcPr>
            <w:tcW w:w="108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8"/>
                <w:szCs w:val="18"/>
                <w:b w:val="1"/>
                <w:bCs w:val="1"/>
                <w:color w:val="auto"/>
                <w:w w:val="95"/>
              </w:rPr>
              <w:t>Recoveries</w:t>
            </w: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85"/>
              </w:rPr>
              <w:t>Provision</w:t>
            </w:r>
          </w:p>
        </w:tc>
        <w:tc>
          <w:tcPr>
            <w:tcW w:w="2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21"/>
                <w:szCs w:val="21"/>
                <w:color w:val="auto"/>
              </w:rPr>
            </w:pPr>
          </w:p>
        </w:tc>
      </w:tr>
      <w:tr>
        <w:trPr>
          <w:trHeight w:val="243"/>
        </w:trPr>
        <w:tc>
          <w:tcPr>
            <w:tcW w:w="3760" w:type="dxa"/>
            <w:vAlign w:val="bottom"/>
            <w:shd w:val="clear" w:color="auto" w:fill="C0C0C0"/>
          </w:tcPr>
          <w:p>
            <w:pPr>
              <w:spacing w:after="0"/>
              <w:rPr>
                <w:sz w:val="20"/>
                <w:szCs w:val="20"/>
                <w:color w:val="auto"/>
              </w:rPr>
            </w:pPr>
            <w:r>
              <w:rPr>
                <w:rFonts w:ascii="Arial" w:cs="Arial" w:eastAsia="Arial" w:hAnsi="Arial"/>
                <w:sz w:val="18"/>
                <w:szCs w:val="18"/>
                <w:color w:val="auto"/>
              </w:rPr>
              <w:t>Commercial and industrial</w:t>
            </w:r>
          </w:p>
        </w:tc>
        <w:tc>
          <w:tcPr>
            <w:tcW w:w="2640" w:type="dxa"/>
            <w:vAlign w:val="bottom"/>
            <w:shd w:val="clear" w:color="auto" w:fill="C0C0C0"/>
          </w:tcPr>
          <w:p>
            <w:pPr>
              <w:ind w:left="24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3,083</w:t>
            </w:r>
          </w:p>
        </w:tc>
        <w:tc>
          <w:tcPr>
            <w:tcW w:w="2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480" w:type="dxa"/>
            <w:vAlign w:val="bottom"/>
            <w:shd w:val="clear" w:color="auto" w:fill="C0C0C0"/>
          </w:tcPr>
          <w:p>
            <w:pPr>
              <w:jc w:val="right"/>
              <w:ind w:right="172"/>
              <w:spacing w:after="0"/>
              <w:rPr>
                <w:sz w:val="20"/>
                <w:szCs w:val="20"/>
                <w:color w:val="auto"/>
              </w:rPr>
            </w:pPr>
            <w:r>
              <w:rPr>
                <w:rFonts w:ascii="Arial" w:cs="Arial" w:eastAsia="Arial" w:hAnsi="Arial"/>
                <w:sz w:val="18"/>
                <w:szCs w:val="18"/>
                <w:color w:val="auto"/>
              </w:rPr>
              <w:t>$</w:t>
            </w:r>
          </w:p>
        </w:tc>
        <w:tc>
          <w:tcPr>
            <w:tcW w:w="6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37</w:t>
            </w:r>
          </w:p>
        </w:tc>
        <w:tc>
          <w:tcPr>
            <w:tcW w:w="2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497</w:t>
            </w:r>
          </w:p>
        </w:tc>
        <w:tc>
          <w:tcPr>
            <w:tcW w:w="2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3,617</w:t>
            </w:r>
          </w:p>
        </w:tc>
        <w:tc>
          <w:tcPr>
            <w:tcW w:w="20" w:type="dxa"/>
            <w:vAlign w:val="bottom"/>
          </w:tcPr>
          <w:p>
            <w:pPr>
              <w:spacing w:after="0"/>
              <w:rPr>
                <w:sz w:val="21"/>
                <w:szCs w:val="21"/>
                <w:color w:val="auto"/>
              </w:rPr>
            </w:pPr>
          </w:p>
        </w:tc>
      </w:tr>
      <w:tr>
        <w:trPr>
          <w:trHeight w:val="235"/>
        </w:trPr>
        <w:tc>
          <w:tcPr>
            <w:tcW w:w="3760" w:type="dxa"/>
            <w:vAlign w:val="bottom"/>
          </w:tcPr>
          <w:p>
            <w:pPr>
              <w:spacing w:after="0"/>
              <w:rPr>
                <w:sz w:val="20"/>
                <w:szCs w:val="20"/>
                <w:color w:val="auto"/>
              </w:rPr>
            </w:pPr>
            <w:r>
              <w:rPr>
                <w:rFonts w:ascii="Arial" w:cs="Arial" w:eastAsia="Arial" w:hAnsi="Arial"/>
                <w:sz w:val="18"/>
                <w:szCs w:val="18"/>
                <w:color w:val="auto"/>
              </w:rPr>
              <w:t>Real estate</w:t>
            </w:r>
          </w:p>
        </w:tc>
        <w:tc>
          <w:tcPr>
            <w:tcW w:w="26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1"/>
        </w:trPr>
        <w:tc>
          <w:tcPr>
            <w:tcW w:w="3760" w:type="dxa"/>
            <w:vAlign w:val="bottom"/>
            <w:shd w:val="clear" w:color="auto" w:fill="C0C0C0"/>
          </w:tcPr>
          <w:p>
            <w:pPr>
              <w:ind w:left="280"/>
              <w:spacing w:after="0"/>
              <w:rPr>
                <w:sz w:val="20"/>
                <w:szCs w:val="20"/>
                <w:color w:val="auto"/>
              </w:rPr>
            </w:pPr>
            <w:r>
              <w:rPr>
                <w:rFonts w:ascii="Arial" w:cs="Arial" w:eastAsia="Arial" w:hAnsi="Arial"/>
                <w:sz w:val="18"/>
                <w:szCs w:val="18"/>
                <w:color w:val="auto"/>
              </w:rPr>
              <w:t>Commercial:</w:t>
            </w:r>
          </w:p>
        </w:tc>
        <w:tc>
          <w:tcPr>
            <w:tcW w:w="2640" w:type="dxa"/>
            <w:vAlign w:val="bottom"/>
            <w:shd w:val="clear" w:color="auto" w:fill="C0C0C0"/>
          </w:tcPr>
          <w:p>
            <w:pPr>
              <w:spacing w:after="0"/>
              <w:rPr>
                <w:sz w:val="21"/>
                <w:szCs w:val="21"/>
                <w:color w:val="auto"/>
              </w:rPr>
            </w:pPr>
          </w:p>
        </w:tc>
        <w:tc>
          <w:tcPr>
            <w:tcW w:w="94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c>
          <w:tcPr>
            <w:tcW w:w="480" w:type="dxa"/>
            <w:vAlign w:val="bottom"/>
            <w:shd w:val="clear" w:color="auto" w:fill="C0C0C0"/>
          </w:tcPr>
          <w:p>
            <w:pPr>
              <w:spacing w:after="0"/>
              <w:rPr>
                <w:sz w:val="21"/>
                <w:szCs w:val="21"/>
                <w:color w:val="auto"/>
              </w:rPr>
            </w:pPr>
          </w:p>
        </w:tc>
        <w:tc>
          <w:tcPr>
            <w:tcW w:w="60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94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3760" w:type="dxa"/>
            <w:vAlign w:val="bottom"/>
          </w:tcPr>
          <w:p>
            <w:pPr>
              <w:ind w:left="540"/>
              <w:spacing w:after="0"/>
              <w:rPr>
                <w:sz w:val="20"/>
                <w:szCs w:val="20"/>
                <w:color w:val="auto"/>
              </w:rPr>
            </w:pPr>
            <w:r>
              <w:rPr>
                <w:rFonts w:ascii="Arial" w:cs="Arial" w:eastAsia="Arial" w:hAnsi="Arial"/>
                <w:sz w:val="18"/>
                <w:szCs w:val="18"/>
                <w:color w:val="auto"/>
              </w:rPr>
              <w:t>Mortgage</w:t>
            </w:r>
          </w:p>
        </w:tc>
        <w:tc>
          <w:tcPr>
            <w:tcW w:w="2640" w:type="dxa"/>
            <w:vAlign w:val="bottom"/>
          </w:tcPr>
          <w:p>
            <w:pPr>
              <w:spacing w:after="0"/>
              <w:rPr>
                <w:sz w:val="20"/>
                <w:szCs w:val="20"/>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2,803</w:t>
            </w:r>
          </w:p>
        </w:tc>
        <w:tc>
          <w:tcPr>
            <w:tcW w:w="260" w:type="dxa"/>
            <w:vAlign w:val="bottom"/>
          </w:tcPr>
          <w:p>
            <w:pPr>
              <w:spacing w:after="0"/>
              <w:rPr>
                <w:sz w:val="20"/>
                <w:szCs w:val="20"/>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6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(1,113)</w:t>
            </w:r>
          </w:p>
        </w:tc>
        <w:tc>
          <w:tcPr>
            <w:tcW w:w="24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1,690</w:t>
            </w:r>
          </w:p>
        </w:tc>
      </w:tr>
      <w:tr>
        <w:trPr>
          <w:trHeight w:val="251"/>
        </w:trPr>
        <w:tc>
          <w:tcPr>
            <w:tcW w:w="3760" w:type="dxa"/>
            <w:vAlign w:val="bottom"/>
            <w:shd w:val="clear" w:color="auto" w:fill="C0C0C0"/>
          </w:tcPr>
          <w:p>
            <w:pPr>
              <w:ind w:left="540"/>
              <w:spacing w:after="0"/>
              <w:rPr>
                <w:sz w:val="20"/>
                <w:szCs w:val="20"/>
                <w:color w:val="auto"/>
              </w:rPr>
            </w:pPr>
            <w:r>
              <w:rPr>
                <w:rFonts w:ascii="Arial" w:cs="Arial" w:eastAsia="Arial" w:hAnsi="Arial"/>
                <w:sz w:val="18"/>
                <w:szCs w:val="18"/>
                <w:color w:val="auto"/>
              </w:rPr>
              <w:t>Construction</w:t>
            </w:r>
          </w:p>
        </w:tc>
        <w:tc>
          <w:tcPr>
            <w:tcW w:w="264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9</w:t>
            </w:r>
          </w:p>
        </w:tc>
        <w:tc>
          <w:tcPr>
            <w:tcW w:w="260" w:type="dxa"/>
            <w:vAlign w:val="bottom"/>
            <w:shd w:val="clear" w:color="auto" w:fill="C0C0C0"/>
          </w:tcPr>
          <w:p>
            <w:pPr>
              <w:spacing w:after="0"/>
              <w:rPr>
                <w:sz w:val="21"/>
                <w:szCs w:val="21"/>
                <w:color w:val="auto"/>
              </w:rPr>
            </w:pPr>
          </w:p>
        </w:tc>
        <w:tc>
          <w:tcPr>
            <w:tcW w:w="6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480" w:type="dxa"/>
            <w:vAlign w:val="bottom"/>
            <w:shd w:val="clear" w:color="auto" w:fill="C0C0C0"/>
          </w:tcPr>
          <w:p>
            <w:pPr>
              <w:spacing w:after="0"/>
              <w:rPr>
                <w:sz w:val="21"/>
                <w:szCs w:val="21"/>
                <w:color w:val="auto"/>
              </w:rPr>
            </w:pPr>
          </w:p>
        </w:tc>
        <w:tc>
          <w:tcPr>
            <w:tcW w:w="6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96</w:t>
            </w:r>
          </w:p>
        </w:tc>
        <w:tc>
          <w:tcPr>
            <w:tcW w:w="240" w:type="dxa"/>
            <w:vAlign w:val="bottom"/>
            <w:shd w:val="clear" w:color="auto" w:fill="C0C0C0"/>
          </w:tcPr>
          <w:p>
            <w:pPr>
              <w:spacing w:after="0"/>
              <w:rPr>
                <w:sz w:val="21"/>
                <w:szCs w:val="21"/>
                <w:color w:val="auto"/>
              </w:rPr>
            </w:pP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21"/>
                <w:szCs w:val="21"/>
                <w:color w:val="auto"/>
              </w:rPr>
            </w:pPr>
          </w:p>
        </w:tc>
      </w:tr>
      <w:tr>
        <w:trPr>
          <w:trHeight w:val="235"/>
        </w:trPr>
        <w:tc>
          <w:tcPr>
            <w:tcW w:w="3760" w:type="dxa"/>
            <w:vAlign w:val="bottom"/>
          </w:tcPr>
          <w:p>
            <w:pPr>
              <w:ind w:left="280"/>
              <w:spacing w:after="0"/>
              <w:rPr>
                <w:sz w:val="20"/>
                <w:szCs w:val="20"/>
                <w:color w:val="auto"/>
              </w:rPr>
            </w:pPr>
            <w:r>
              <w:rPr>
                <w:rFonts w:ascii="Arial" w:cs="Arial" w:eastAsia="Arial" w:hAnsi="Arial"/>
                <w:sz w:val="18"/>
                <w:szCs w:val="18"/>
                <w:color w:val="auto"/>
              </w:rPr>
              <w:t>Church, church-related:</w:t>
            </w:r>
          </w:p>
        </w:tc>
        <w:tc>
          <w:tcPr>
            <w:tcW w:w="26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1"/>
        </w:trPr>
        <w:tc>
          <w:tcPr>
            <w:tcW w:w="3760" w:type="dxa"/>
            <w:vAlign w:val="bottom"/>
            <w:shd w:val="clear" w:color="auto" w:fill="C0C0C0"/>
          </w:tcPr>
          <w:p>
            <w:pPr>
              <w:ind w:left="540"/>
              <w:spacing w:after="0"/>
              <w:rPr>
                <w:sz w:val="20"/>
                <w:szCs w:val="20"/>
                <w:color w:val="auto"/>
              </w:rPr>
            </w:pPr>
            <w:r>
              <w:rPr>
                <w:rFonts w:ascii="Arial" w:cs="Arial" w:eastAsia="Arial" w:hAnsi="Arial"/>
                <w:sz w:val="18"/>
                <w:szCs w:val="18"/>
                <w:color w:val="auto"/>
              </w:rPr>
              <w:t>Mortgage</w:t>
            </w:r>
          </w:p>
        </w:tc>
        <w:tc>
          <w:tcPr>
            <w:tcW w:w="264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4,082</w:t>
            </w:r>
          </w:p>
        </w:tc>
        <w:tc>
          <w:tcPr>
            <w:tcW w:w="260" w:type="dxa"/>
            <w:vAlign w:val="bottom"/>
            <w:shd w:val="clear" w:color="auto" w:fill="C0C0C0"/>
          </w:tcPr>
          <w:p>
            <w:pPr>
              <w:spacing w:after="0"/>
              <w:rPr>
                <w:sz w:val="21"/>
                <w:szCs w:val="21"/>
                <w:color w:val="auto"/>
              </w:rPr>
            </w:pPr>
          </w:p>
        </w:tc>
        <w:tc>
          <w:tcPr>
            <w:tcW w:w="6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480" w:type="dxa"/>
            <w:vAlign w:val="bottom"/>
            <w:shd w:val="clear" w:color="auto" w:fill="C0C0C0"/>
          </w:tcPr>
          <w:p>
            <w:pPr>
              <w:spacing w:after="0"/>
              <w:rPr>
                <w:sz w:val="21"/>
                <w:szCs w:val="21"/>
                <w:color w:val="auto"/>
              </w:rPr>
            </w:pPr>
          </w:p>
        </w:tc>
        <w:tc>
          <w:tcPr>
            <w:tcW w:w="6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34</w:t>
            </w:r>
          </w:p>
        </w:tc>
        <w:tc>
          <w:tcPr>
            <w:tcW w:w="240" w:type="dxa"/>
            <w:vAlign w:val="bottom"/>
            <w:shd w:val="clear" w:color="auto" w:fill="C0C0C0"/>
          </w:tcPr>
          <w:p>
            <w:pPr>
              <w:spacing w:after="0"/>
              <w:rPr>
                <w:sz w:val="21"/>
                <w:szCs w:val="21"/>
                <w:color w:val="auto"/>
              </w:rPr>
            </w:pP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4,116</w:t>
            </w:r>
          </w:p>
        </w:tc>
        <w:tc>
          <w:tcPr>
            <w:tcW w:w="20" w:type="dxa"/>
            <w:vAlign w:val="bottom"/>
          </w:tcPr>
          <w:p>
            <w:pPr>
              <w:spacing w:after="0"/>
              <w:rPr>
                <w:sz w:val="21"/>
                <w:szCs w:val="21"/>
                <w:color w:val="auto"/>
              </w:rPr>
            </w:pPr>
          </w:p>
        </w:tc>
      </w:tr>
      <w:tr>
        <w:trPr>
          <w:trHeight w:val="235"/>
        </w:trPr>
        <w:tc>
          <w:tcPr>
            <w:tcW w:w="3760" w:type="dxa"/>
            <w:vAlign w:val="bottom"/>
          </w:tcPr>
          <w:p>
            <w:pPr>
              <w:ind w:left="540"/>
              <w:spacing w:after="0"/>
              <w:rPr>
                <w:sz w:val="20"/>
                <w:szCs w:val="20"/>
                <w:color w:val="auto"/>
              </w:rPr>
            </w:pPr>
            <w:r>
              <w:rPr>
                <w:rFonts w:ascii="Arial" w:cs="Arial" w:eastAsia="Arial" w:hAnsi="Arial"/>
                <w:sz w:val="18"/>
                <w:szCs w:val="18"/>
                <w:color w:val="auto"/>
              </w:rPr>
              <w:t>Construction</w:t>
            </w:r>
          </w:p>
        </w:tc>
        <w:tc>
          <w:tcPr>
            <w:tcW w:w="2640" w:type="dxa"/>
            <w:vAlign w:val="bottom"/>
          </w:tcPr>
          <w:p>
            <w:pPr>
              <w:spacing w:after="0"/>
              <w:rPr>
                <w:sz w:val="20"/>
                <w:szCs w:val="20"/>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217</w:t>
            </w:r>
          </w:p>
        </w:tc>
        <w:tc>
          <w:tcPr>
            <w:tcW w:w="260" w:type="dxa"/>
            <w:vAlign w:val="bottom"/>
          </w:tcPr>
          <w:p>
            <w:pPr>
              <w:spacing w:after="0"/>
              <w:rPr>
                <w:sz w:val="20"/>
                <w:szCs w:val="20"/>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6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187</w:t>
            </w:r>
          </w:p>
        </w:tc>
      </w:tr>
      <w:tr>
        <w:trPr>
          <w:trHeight w:val="251"/>
        </w:trPr>
        <w:tc>
          <w:tcPr>
            <w:tcW w:w="3760" w:type="dxa"/>
            <w:vAlign w:val="bottom"/>
            <w:shd w:val="clear" w:color="auto" w:fill="C0C0C0"/>
          </w:tcPr>
          <w:p>
            <w:pPr>
              <w:spacing w:after="0"/>
              <w:rPr>
                <w:sz w:val="20"/>
                <w:szCs w:val="20"/>
                <w:color w:val="auto"/>
              </w:rPr>
            </w:pPr>
            <w:r>
              <w:rPr>
                <w:rFonts w:ascii="Arial" w:cs="Arial" w:eastAsia="Arial" w:hAnsi="Arial"/>
                <w:sz w:val="18"/>
                <w:szCs w:val="18"/>
                <w:color w:val="auto"/>
              </w:rPr>
              <w:t>Industrial Revenue Bonds</w:t>
            </w:r>
          </w:p>
        </w:tc>
        <w:tc>
          <w:tcPr>
            <w:tcW w:w="264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320</w:t>
            </w:r>
          </w:p>
        </w:tc>
        <w:tc>
          <w:tcPr>
            <w:tcW w:w="260" w:type="dxa"/>
            <w:vAlign w:val="bottom"/>
            <w:shd w:val="clear" w:color="auto" w:fill="C0C0C0"/>
          </w:tcPr>
          <w:p>
            <w:pPr>
              <w:spacing w:after="0"/>
              <w:rPr>
                <w:sz w:val="21"/>
                <w:szCs w:val="21"/>
                <w:color w:val="auto"/>
              </w:rPr>
            </w:pPr>
          </w:p>
        </w:tc>
        <w:tc>
          <w:tcPr>
            <w:tcW w:w="6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480" w:type="dxa"/>
            <w:vAlign w:val="bottom"/>
            <w:shd w:val="clear" w:color="auto" w:fill="C0C0C0"/>
          </w:tcPr>
          <w:p>
            <w:pPr>
              <w:spacing w:after="0"/>
              <w:rPr>
                <w:sz w:val="21"/>
                <w:szCs w:val="21"/>
                <w:color w:val="auto"/>
              </w:rPr>
            </w:pPr>
          </w:p>
        </w:tc>
        <w:tc>
          <w:tcPr>
            <w:tcW w:w="6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(34)</w:t>
            </w:r>
          </w:p>
        </w:tc>
        <w:tc>
          <w:tcPr>
            <w:tcW w:w="240" w:type="dxa"/>
            <w:vAlign w:val="bottom"/>
            <w:shd w:val="clear" w:color="auto" w:fill="C0C0C0"/>
          </w:tcPr>
          <w:p>
            <w:pPr>
              <w:spacing w:after="0"/>
              <w:rPr>
                <w:sz w:val="21"/>
                <w:szCs w:val="21"/>
                <w:color w:val="auto"/>
              </w:rPr>
            </w:pP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286</w:t>
            </w:r>
          </w:p>
        </w:tc>
        <w:tc>
          <w:tcPr>
            <w:tcW w:w="20" w:type="dxa"/>
            <w:vAlign w:val="bottom"/>
          </w:tcPr>
          <w:p>
            <w:pPr>
              <w:spacing w:after="0"/>
              <w:rPr>
                <w:sz w:val="21"/>
                <w:szCs w:val="21"/>
                <w:color w:val="auto"/>
              </w:rPr>
            </w:pPr>
          </w:p>
        </w:tc>
      </w:tr>
      <w:tr>
        <w:trPr>
          <w:trHeight w:val="237"/>
        </w:trPr>
        <w:tc>
          <w:tcPr>
            <w:tcW w:w="3760" w:type="dxa"/>
            <w:vAlign w:val="bottom"/>
          </w:tcPr>
          <w:p>
            <w:pPr>
              <w:spacing w:after="0"/>
              <w:rPr>
                <w:sz w:val="20"/>
                <w:szCs w:val="20"/>
                <w:color w:val="auto"/>
              </w:rPr>
            </w:pPr>
            <w:r>
              <w:rPr>
                <w:rFonts w:ascii="Arial" w:cs="Arial" w:eastAsia="Arial" w:hAnsi="Arial"/>
                <w:sz w:val="18"/>
                <w:szCs w:val="18"/>
                <w:color w:val="auto"/>
              </w:rPr>
              <w:t>Other</w:t>
            </w:r>
          </w:p>
        </w:tc>
        <w:tc>
          <w:tcPr>
            <w:tcW w:w="2640" w:type="dxa"/>
            <w:vAlign w:val="bottom"/>
          </w:tcPr>
          <w:p>
            <w:pPr>
              <w:spacing w:after="0"/>
              <w:rPr>
                <w:sz w:val="20"/>
                <w:szCs w:val="20"/>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1,121</w:t>
            </w:r>
          </w:p>
        </w:tc>
        <w:tc>
          <w:tcPr>
            <w:tcW w:w="260" w:type="dxa"/>
            <w:vAlign w:val="bottom"/>
          </w:tcPr>
          <w:p>
            <w:pPr>
              <w:spacing w:after="0"/>
              <w:rPr>
                <w:sz w:val="20"/>
                <w:szCs w:val="20"/>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6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(450)</w:t>
            </w:r>
          </w:p>
        </w:tc>
        <w:tc>
          <w:tcPr>
            <w:tcW w:w="24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671</w:t>
            </w:r>
          </w:p>
        </w:tc>
      </w:tr>
      <w:tr>
        <w:trPr>
          <w:trHeight w:val="237"/>
        </w:trPr>
        <w:tc>
          <w:tcPr>
            <w:tcW w:w="3760" w:type="dxa"/>
            <w:vAlign w:val="bottom"/>
            <w:tcBorders>
              <w:top w:val="single" w:sz="8" w:color="auto"/>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Total</w:t>
            </w:r>
          </w:p>
        </w:tc>
        <w:tc>
          <w:tcPr>
            <w:tcW w:w="2640" w:type="dxa"/>
            <w:vAlign w:val="bottom"/>
            <w:tcBorders>
              <w:top w:val="single" w:sz="8" w:color="auto"/>
              <w:bottom w:val="single" w:sz="8" w:color="auto"/>
            </w:tcBorders>
            <w:shd w:val="clear" w:color="auto" w:fill="C0C0C0"/>
          </w:tcPr>
          <w:p>
            <w:pPr>
              <w:ind w:left="24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11,635</w:t>
            </w:r>
          </w:p>
        </w:tc>
        <w:tc>
          <w:tcPr>
            <w:tcW w:w="26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shd w:val="clear" w:color="auto" w:fill="C0C0C0"/>
          </w:tcPr>
          <w:p>
            <w:pPr>
              <w:jc w:val="right"/>
              <w:ind w:right="172"/>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37</w:t>
            </w:r>
          </w:p>
        </w:tc>
        <w:tc>
          <w:tcPr>
            <w:tcW w:w="22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rPr>
              <w:t>(1,000)</w:t>
            </w:r>
          </w:p>
        </w:tc>
        <w:tc>
          <w:tcPr>
            <w:tcW w:w="24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10,672</w:t>
            </w:r>
          </w:p>
        </w:tc>
        <w:tc>
          <w:tcPr>
            <w:tcW w:w="20" w:type="dxa"/>
            <w:vAlign w:val="bottom"/>
          </w:tcPr>
          <w:p>
            <w:pPr>
              <w:spacing w:after="0"/>
              <w:rPr>
                <w:sz w:val="20"/>
                <w:szCs w:val="20"/>
                <w:color w:val="auto"/>
              </w:rPr>
            </w:pPr>
          </w:p>
        </w:tc>
      </w:tr>
      <w:tr>
        <w:trPr>
          <w:trHeight w:val="430"/>
        </w:trPr>
        <w:tc>
          <w:tcPr>
            <w:tcW w:w="3760" w:type="dxa"/>
            <w:vAlign w:val="bottom"/>
          </w:tcPr>
          <w:p>
            <w:pPr>
              <w:spacing w:after="0"/>
              <w:rPr>
                <w:sz w:val="24"/>
                <w:szCs w:val="24"/>
                <w:color w:val="auto"/>
              </w:rPr>
            </w:pPr>
          </w:p>
        </w:tc>
        <w:tc>
          <w:tcPr>
            <w:tcW w:w="2640" w:type="dxa"/>
            <w:vAlign w:val="bottom"/>
          </w:tcPr>
          <w:p>
            <w:pPr>
              <w:jc w:val="right"/>
              <w:ind w:right="452"/>
              <w:spacing w:after="0"/>
              <w:rPr>
                <w:sz w:val="20"/>
                <w:szCs w:val="20"/>
                <w:color w:val="auto"/>
              </w:rPr>
            </w:pPr>
            <w:r>
              <w:rPr>
                <w:rFonts w:ascii="Arial" w:cs="Arial" w:eastAsia="Arial" w:hAnsi="Arial"/>
                <w:sz w:val="18"/>
                <w:szCs w:val="18"/>
                <w:color w:val="auto"/>
              </w:rPr>
              <w:t>-12-</w:t>
            </w: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3760" w:type="dxa"/>
            <w:vAlign w:val="bottom"/>
            <w:tcBorders>
              <w:bottom w:val="single" w:sz="8" w:color="808080"/>
            </w:tcBorders>
          </w:tcPr>
          <w:p>
            <w:pPr>
              <w:spacing w:after="0"/>
              <w:rPr>
                <w:sz w:val="19"/>
                <w:szCs w:val="19"/>
                <w:color w:val="auto"/>
              </w:rPr>
            </w:pPr>
          </w:p>
        </w:tc>
        <w:tc>
          <w:tcPr>
            <w:tcW w:w="264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31" w:right="21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Note 7 – Commitments and Contingencies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the normal course of business, the Company is party to activities that contain credit, market and operational risks that are not reflected in whole or in part in the Company’s consolidated financial statements. Such activities include traditional off-balance sheet credit-related financial instruments and commitments under operating leases. These financial instruments include commitments to extend credit, commercial letters of credit and standby letters of credit. The Company’s maximum potential exposure to credit loss in the event of nonperformance by the other party to the financial instrument for commitments to extend credit, commercial letters of credit and standby letters of credit is represented by the contractual amounts of those instruments. At June 30, 2017 and December 31, 2016, no amounts have been accrued for any estimated losses for these instruments.</w:t>
      </w:r>
    </w:p>
    <w:p>
      <w:pPr>
        <w:spacing w:after="0" w:line="17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Commitments to extend credit are agreements to lend to a customer as long as there is no violation of any condition established in the contract. Commercial and standby letters of credit are conditional commitments issued by the Company or its subsidiaries to guarantee the performance of a customer to a third party. These off-balance sheet financial instruments generally have fixed expiration dates or other termination clauses and may require payment of a fee. At June 30, 2017, the balance of unused loan commitments, standby and commercial letters of credit were $65,583,000, $13,977,000, and $2,759,000, respectively. Since some of the financial instruments may expire without being drawn upon, the total amounts do not necessarily represent future cash requirements. Commitments to extend credit and letters of credit are subject to the same underwriting standards as those financial instruments included on the consolidated balance sheets. The Company evaluates each customer’s credit worthiness on a case-by-case basis. The amount of collateral obtained, if deemed necessary upon extension of the credit, is based on management’s credit evaluation of the borrower. Collateral held varies, but is generally accounts receivable, inventory, residential or income-producing commercial property or equipment. In the event of nonperformance, the Company or its subsidiaries may obtain and liquidate the collateral to recover amounts paid under guarantees on these financial instruments.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contractual cash obligations of the Company related to operating lease commitments and time deposits at June 30, 2017:</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4100" w:type="dxa"/>
            <w:vAlign w:val="bottom"/>
            <w:gridSpan w:val="10"/>
          </w:tcPr>
          <w:p>
            <w:pPr>
              <w:jc w:val="right"/>
              <w:ind w:right="112"/>
              <w:spacing w:after="0"/>
              <w:rPr>
                <w:sz w:val="20"/>
                <w:szCs w:val="20"/>
                <w:color w:val="auto"/>
              </w:rPr>
            </w:pPr>
            <w:r>
              <w:rPr>
                <w:rFonts w:ascii="Arial" w:cs="Arial" w:eastAsia="Arial" w:hAnsi="Arial"/>
                <w:sz w:val="18"/>
                <w:szCs w:val="18"/>
                <w:b w:val="1"/>
                <w:bCs w:val="1"/>
                <w:color w:val="auto"/>
                <w:w w:val="98"/>
              </w:rPr>
              <w:t>Amount of Commitment Expiration per Period</w:t>
            </w:r>
          </w:p>
        </w:tc>
        <w:tc>
          <w:tcPr>
            <w:tcW w:w="380" w:type="dxa"/>
            <w:vAlign w:val="bottom"/>
          </w:tcPr>
          <w:p>
            <w:pPr>
              <w:spacing w:after="0"/>
              <w:rPr>
                <w:sz w:val="17"/>
                <w:szCs w:val="17"/>
                <w:color w:val="auto"/>
              </w:rPr>
            </w:pPr>
          </w:p>
        </w:tc>
      </w:tr>
      <w:tr>
        <w:trPr>
          <w:trHeight w:val="262"/>
        </w:trPr>
        <w:tc>
          <w:tcPr>
            <w:tcW w:w="442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gridSpan w:val="2"/>
          </w:tcPr>
          <w:p>
            <w:pPr>
              <w:jc w:val="right"/>
              <w:ind w:right="92"/>
              <w:spacing w:after="0"/>
              <w:rPr>
                <w:sz w:val="20"/>
                <w:szCs w:val="20"/>
                <w:color w:val="auto"/>
              </w:rPr>
            </w:pPr>
            <w:r>
              <w:rPr>
                <w:rFonts w:ascii="Arial" w:cs="Arial" w:eastAsia="Arial" w:hAnsi="Arial"/>
                <w:sz w:val="18"/>
                <w:szCs w:val="18"/>
                <w:b w:val="1"/>
                <w:bCs w:val="1"/>
                <w:color w:val="auto"/>
              </w:rPr>
              <w:t>Less than</w:t>
            </w:r>
          </w:p>
        </w:tc>
        <w:tc>
          <w:tcPr>
            <w:tcW w:w="24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1-3</w:t>
            </w:r>
          </w:p>
        </w:tc>
        <w:tc>
          <w:tcPr>
            <w:tcW w:w="26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3-5</w:t>
            </w:r>
          </w:p>
        </w:tc>
        <w:tc>
          <w:tcPr>
            <w:tcW w:w="140" w:type="dxa"/>
            <w:vAlign w:val="bottom"/>
            <w:tcBorders>
              <w:top w:val="single" w:sz="8" w:color="auto"/>
            </w:tcBorders>
          </w:tcPr>
          <w:p>
            <w:pPr>
              <w:spacing w:after="0"/>
              <w:rPr>
                <w:sz w:val="22"/>
                <w:szCs w:val="22"/>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Over 5</w:t>
            </w:r>
          </w:p>
        </w:tc>
      </w:tr>
      <w:tr>
        <w:trPr>
          <w:trHeight w:val="252"/>
        </w:trPr>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25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w w:val="92"/>
              </w:rPr>
              <w:t>1 Year</w:t>
            </w:r>
          </w:p>
        </w:tc>
        <w:tc>
          <w:tcPr>
            <w:tcW w:w="2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w w:val="89"/>
              </w:rPr>
              <w:t>Years</w:t>
            </w:r>
          </w:p>
        </w:tc>
        <w:tc>
          <w:tcPr>
            <w:tcW w:w="2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w w:val="85"/>
              </w:rPr>
              <w:t>Years</w:t>
            </w:r>
          </w:p>
        </w:tc>
        <w:tc>
          <w:tcPr>
            <w:tcW w:w="1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7"/>
              </w:rPr>
              <w:t>Years</w:t>
            </w:r>
          </w:p>
        </w:tc>
      </w:tr>
      <w:tr>
        <w:trPr>
          <w:trHeight w:val="243"/>
        </w:trPr>
        <w:tc>
          <w:tcPr>
            <w:tcW w:w="4420" w:type="dxa"/>
            <w:vAlign w:val="bottom"/>
            <w:shd w:val="clear" w:color="auto" w:fill="C0C0C0"/>
          </w:tcPr>
          <w:p>
            <w:pPr>
              <w:spacing w:after="0"/>
              <w:rPr>
                <w:sz w:val="20"/>
                <w:szCs w:val="20"/>
                <w:color w:val="auto"/>
              </w:rPr>
            </w:pPr>
            <w:r>
              <w:rPr>
                <w:rFonts w:ascii="Arial" w:cs="Arial" w:eastAsia="Arial" w:hAnsi="Arial"/>
                <w:sz w:val="18"/>
                <w:szCs w:val="18"/>
                <w:color w:val="auto"/>
              </w:rPr>
              <w:t>Operating lease commitments</w:t>
            </w:r>
          </w:p>
        </w:tc>
        <w:tc>
          <w:tcPr>
            <w:tcW w:w="25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5,589</w:t>
            </w:r>
          </w:p>
        </w:tc>
        <w:tc>
          <w:tcPr>
            <w:tcW w:w="2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1,448</w:t>
            </w:r>
          </w:p>
        </w:tc>
        <w:tc>
          <w:tcPr>
            <w:tcW w:w="2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2,036</w:t>
            </w:r>
          </w:p>
        </w:tc>
        <w:tc>
          <w:tcPr>
            <w:tcW w:w="2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1,656</w:t>
            </w:r>
          </w:p>
        </w:tc>
        <w:tc>
          <w:tcPr>
            <w:tcW w:w="340" w:type="dxa"/>
            <w:vAlign w:val="bottom"/>
            <w:gridSpan w:val="2"/>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3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449</w:t>
            </w:r>
          </w:p>
        </w:tc>
      </w:tr>
      <w:tr>
        <w:trPr>
          <w:trHeight w:val="237"/>
        </w:trPr>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Time deposits</w:t>
            </w:r>
          </w:p>
        </w:tc>
        <w:tc>
          <w:tcPr>
            <w:tcW w:w="25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52,653</w:t>
            </w: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47,759</w:t>
            </w: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2,319</w:t>
            </w:r>
          </w:p>
        </w:tc>
        <w:tc>
          <w:tcPr>
            <w:tcW w:w="2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2,575</w:t>
            </w:r>
          </w:p>
        </w:tc>
        <w:tc>
          <w:tcPr>
            <w:tcW w:w="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4420" w:type="dxa"/>
            <w:vAlign w:val="bottom"/>
            <w:tcBorders>
              <w:bottom w:val="single" w:sz="8" w:color="auto"/>
            </w:tcBorders>
            <w:shd w:val="clear" w:color="auto" w:fill="C0C0C0"/>
          </w:tcPr>
          <w:p>
            <w:pPr>
              <w:ind w:left="280"/>
              <w:spacing w:after="0"/>
              <w:rPr>
                <w:sz w:val="20"/>
                <w:szCs w:val="20"/>
                <w:color w:val="auto"/>
              </w:rPr>
            </w:pPr>
            <w:r>
              <w:rPr>
                <w:rFonts w:ascii="Arial" w:cs="Arial" w:eastAsia="Arial" w:hAnsi="Arial"/>
                <w:sz w:val="18"/>
                <w:szCs w:val="18"/>
                <w:color w:val="auto"/>
              </w:rPr>
              <w:t>Total</w:t>
            </w:r>
          </w:p>
        </w:tc>
        <w:tc>
          <w:tcPr>
            <w:tcW w:w="252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58,242</w:t>
            </w:r>
          </w:p>
        </w:tc>
        <w:tc>
          <w:tcPr>
            <w:tcW w:w="2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49,207</w:t>
            </w:r>
          </w:p>
        </w:tc>
        <w:tc>
          <w:tcPr>
            <w:tcW w:w="2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4,355</w:t>
            </w:r>
          </w:p>
        </w:tc>
        <w:tc>
          <w:tcPr>
            <w:tcW w:w="2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4,231</w:t>
            </w:r>
          </w:p>
        </w:tc>
        <w:tc>
          <w:tcPr>
            <w:tcW w:w="340" w:type="dxa"/>
            <w:vAlign w:val="bottom"/>
            <w:tcBorders>
              <w:bottom w:val="single" w:sz="8" w:color="auto"/>
            </w:tcBorders>
            <w:gridSpan w:val="2"/>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449</w:t>
            </w:r>
          </w:p>
        </w:tc>
      </w:tr>
    </w:tbl>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and its subsidiaries are involved in various pending legal actions and proceedings in which claims for damages are asserted. Management, after discussion with legal counsel, believes the ultimate resolution of these legal actions and proceedings will not have a material effect upon the Company’s consolidated financial position or results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Note 8 – Stock-Based Compensation</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Amended and Restated Omnibus Stock and Performance Compensation Plan (the “Omnibus Plan”) permits the issuance of up to 1,500,000 shares of the Company’s common stock in the form of stock options, stock appreciation rights (“SARs”), restricted stock, restricted stock units and performance awards. The Company may issue shares out of treasury stock for these awards. During the six months ended June 30, 2017, 22,545 restricted shares, 23,038 performance-based restricted shares, and 0 SARs were granted under the Omnibus Plan.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Restricted shares granted prior to April 16, 2013 were amortized to expense over a three-year vesting period. Beginning on April 16, 2013, restricted shares granted to Company employees are amortized to expense over a three-year vesting period whereas restricted shares granted to members of the Board of Directors are amortized to expense over a one-year service period, with the exception of those shares granted in lieu of cash payments for retainer fees which are expensed in the period earned. As of June 30, 2017, the total unrecognized compensation expense related to non-vested restricted shares was $2,217,000, and the related weighted-average period over which it is expected to be recognized is approximately 1.0 year.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22"/>
        </w:trPr>
        <w:tc>
          <w:tcPr>
            <w:tcW w:w="9700" w:type="dxa"/>
            <w:vAlign w:val="bottom"/>
          </w:tcPr>
          <w:p>
            <w:pPr>
              <w:spacing w:after="0"/>
              <w:rPr>
                <w:sz w:val="20"/>
                <w:szCs w:val="20"/>
                <w:color w:val="auto"/>
              </w:rPr>
            </w:pPr>
            <w:r>
              <w:rPr>
                <w:rFonts w:ascii="Arial" w:cs="Arial" w:eastAsia="Arial" w:hAnsi="Arial"/>
                <w:sz w:val="18"/>
                <w:szCs w:val="18"/>
                <w:color w:val="auto"/>
              </w:rPr>
              <w:t>Following is a summary of the activity of the restricted stock:</w:t>
            </w: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46"/>
        </w:trPr>
        <w:tc>
          <w:tcPr>
            <w:tcW w:w="9700" w:type="dxa"/>
            <w:vAlign w:val="bottom"/>
          </w:tcPr>
          <w:p>
            <w:pPr>
              <w:spacing w:after="0"/>
              <w:rPr>
                <w:sz w:val="24"/>
                <w:szCs w:val="24"/>
                <w:color w:val="auto"/>
              </w:rPr>
            </w:pPr>
          </w:p>
        </w:tc>
        <w:tc>
          <w:tcPr>
            <w:tcW w:w="1740" w:type="dxa"/>
            <w:vAlign w:val="bottom"/>
            <w:gridSpan w:val="4"/>
          </w:tcPr>
          <w:p>
            <w:pPr>
              <w:jc w:val="right"/>
              <w:ind w:right="200"/>
              <w:spacing w:after="0"/>
              <w:rPr>
                <w:sz w:val="20"/>
                <w:szCs w:val="20"/>
                <w:color w:val="auto"/>
              </w:rPr>
            </w:pPr>
            <w:r>
              <w:rPr>
                <w:rFonts w:ascii="Arial" w:cs="Arial" w:eastAsia="Arial" w:hAnsi="Arial"/>
                <w:sz w:val="18"/>
                <w:szCs w:val="18"/>
                <w:b w:val="1"/>
                <w:bCs w:val="1"/>
                <w:color w:val="auto"/>
                <w:w w:val="97"/>
              </w:rPr>
              <w:t>Six Months Ended</w:t>
            </w:r>
          </w:p>
        </w:tc>
      </w:tr>
      <w:tr>
        <w:trPr>
          <w:trHeight w:val="252"/>
        </w:trPr>
        <w:tc>
          <w:tcPr>
            <w:tcW w:w="9700" w:type="dxa"/>
            <w:vAlign w:val="bottom"/>
          </w:tcPr>
          <w:p>
            <w:pPr>
              <w:spacing w:after="0"/>
              <w:rPr>
                <w:sz w:val="21"/>
                <w:szCs w:val="21"/>
                <w:color w:val="auto"/>
              </w:rPr>
            </w:pPr>
          </w:p>
        </w:tc>
        <w:tc>
          <w:tcPr>
            <w:tcW w:w="1740" w:type="dxa"/>
            <w:vAlign w:val="bottom"/>
            <w:gridSpan w:val="4"/>
          </w:tcPr>
          <w:p>
            <w:pPr>
              <w:jc w:val="right"/>
              <w:ind w:right="380"/>
              <w:spacing w:after="0"/>
              <w:rPr>
                <w:sz w:val="20"/>
                <w:szCs w:val="20"/>
                <w:color w:val="auto"/>
              </w:rPr>
            </w:pPr>
            <w:r>
              <w:rPr>
                <w:rFonts w:ascii="Arial" w:cs="Arial" w:eastAsia="Arial" w:hAnsi="Arial"/>
                <w:sz w:val="18"/>
                <w:szCs w:val="18"/>
                <w:b w:val="1"/>
                <w:bCs w:val="1"/>
                <w:color w:val="auto"/>
              </w:rPr>
              <w:t>June 30, 2017</w:t>
            </w:r>
          </w:p>
        </w:tc>
      </w:tr>
      <w:tr>
        <w:trPr>
          <w:trHeight w:val="237"/>
        </w:trPr>
        <w:tc>
          <w:tcPr>
            <w:tcW w:w="9700" w:type="dxa"/>
            <w:vAlign w:val="bottom"/>
            <w:tcBorders>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Shares</w:t>
            </w:r>
          </w:p>
        </w:tc>
        <w:tc>
          <w:tcPr>
            <w:tcW w:w="940" w:type="dxa"/>
            <w:vAlign w:val="bottom"/>
            <w:tcBorders>
              <w:top w:val="single" w:sz="8" w:color="auto"/>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w w:val="90"/>
              </w:rPr>
              <w:t>Fair Value</w:t>
            </w:r>
          </w:p>
        </w:tc>
        <w:tc>
          <w:tcPr>
            <w:tcW w:w="20" w:type="dxa"/>
            <w:vAlign w:val="bottom"/>
          </w:tcPr>
          <w:p>
            <w:pPr>
              <w:spacing w:after="0"/>
              <w:rPr>
                <w:sz w:val="20"/>
                <w:szCs w:val="20"/>
                <w:color w:val="auto"/>
              </w:rPr>
            </w:pPr>
          </w:p>
        </w:tc>
      </w:tr>
      <w:tr>
        <w:trPr>
          <w:trHeight w:val="243"/>
        </w:trPr>
        <w:tc>
          <w:tcPr>
            <w:tcW w:w="9700" w:type="dxa"/>
            <w:vAlign w:val="bottom"/>
            <w:shd w:val="clear" w:color="auto" w:fill="C0C0C0"/>
          </w:tcPr>
          <w:p>
            <w:pPr>
              <w:spacing w:after="0"/>
              <w:rPr>
                <w:sz w:val="20"/>
                <w:szCs w:val="20"/>
                <w:color w:val="auto"/>
              </w:rPr>
            </w:pPr>
            <w:r>
              <w:rPr>
                <w:rFonts w:ascii="Arial" w:cs="Arial" w:eastAsia="Arial" w:hAnsi="Arial"/>
                <w:sz w:val="18"/>
                <w:szCs w:val="18"/>
                <w:color w:val="auto"/>
              </w:rPr>
              <w:t>Balance at December 31, 2016</w:t>
            </w:r>
          </w:p>
        </w:tc>
        <w:tc>
          <w:tcPr>
            <w:tcW w:w="78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w w:val="94"/>
              </w:rPr>
              <w:t>73,840</w:t>
            </w:r>
          </w:p>
        </w:tc>
        <w:tc>
          <w:tcPr>
            <w:tcW w:w="380" w:type="dxa"/>
            <w:vAlign w:val="bottom"/>
            <w:shd w:val="clear" w:color="auto" w:fill="C0C0C0"/>
          </w:tcPr>
          <w:p>
            <w:pPr>
              <w:ind w:left="1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51.03</w:t>
            </w:r>
          </w:p>
        </w:tc>
        <w:tc>
          <w:tcPr>
            <w:tcW w:w="20" w:type="dxa"/>
            <w:vAlign w:val="bottom"/>
          </w:tcPr>
          <w:p>
            <w:pPr>
              <w:spacing w:after="0"/>
              <w:rPr>
                <w:sz w:val="21"/>
                <w:szCs w:val="21"/>
                <w:color w:val="auto"/>
              </w:rPr>
            </w:pPr>
          </w:p>
        </w:tc>
      </w:tr>
      <w:tr>
        <w:trPr>
          <w:trHeight w:val="235"/>
        </w:trPr>
        <w:tc>
          <w:tcPr>
            <w:tcW w:w="9700" w:type="dxa"/>
            <w:vAlign w:val="bottom"/>
          </w:tcPr>
          <w:p>
            <w:pPr>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ind w:right="152"/>
              <w:spacing w:after="0"/>
              <w:rPr>
                <w:sz w:val="20"/>
                <w:szCs w:val="20"/>
                <w:color w:val="auto"/>
              </w:rPr>
            </w:pPr>
            <w:r>
              <w:rPr>
                <w:rFonts w:ascii="Arial" w:cs="Arial" w:eastAsia="Arial" w:hAnsi="Arial"/>
                <w:sz w:val="18"/>
                <w:szCs w:val="18"/>
                <w:color w:val="auto"/>
                <w:w w:val="94"/>
              </w:rPr>
              <w:t>22,545</w:t>
            </w:r>
          </w:p>
        </w:tc>
        <w:tc>
          <w:tcPr>
            <w:tcW w:w="380" w:type="dxa"/>
            <w:vAlign w:val="bottom"/>
          </w:tcPr>
          <w:p>
            <w:pPr>
              <w:ind w:left="1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65.42</w:t>
            </w:r>
          </w:p>
        </w:tc>
      </w:tr>
      <w:tr>
        <w:trPr>
          <w:trHeight w:val="244"/>
        </w:trPr>
        <w:tc>
          <w:tcPr>
            <w:tcW w:w="970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Vested</w:t>
            </w:r>
          </w:p>
        </w:tc>
        <w:tc>
          <w:tcPr>
            <w:tcW w:w="780" w:type="dxa"/>
            <w:vAlign w:val="bottom"/>
            <w:tcBorders>
              <w:bottom w:val="single" w:sz="8" w:color="auto"/>
            </w:tcBorders>
            <w:shd w:val="clear" w:color="auto" w:fill="C0C0C0"/>
          </w:tcPr>
          <w:p>
            <w:pPr>
              <w:jc w:val="right"/>
              <w:ind w:right="92"/>
              <w:spacing w:after="0"/>
              <w:rPr>
                <w:sz w:val="20"/>
                <w:szCs w:val="20"/>
                <w:color w:val="auto"/>
              </w:rPr>
            </w:pPr>
            <w:r>
              <w:rPr>
                <w:rFonts w:ascii="Arial" w:cs="Arial" w:eastAsia="Arial" w:hAnsi="Arial"/>
                <w:sz w:val="18"/>
                <w:szCs w:val="18"/>
                <w:color w:val="auto"/>
                <w:w w:val="86"/>
              </w:rPr>
              <w:t>(26,545)</w:t>
            </w:r>
          </w:p>
        </w:tc>
        <w:tc>
          <w:tcPr>
            <w:tcW w:w="380" w:type="dxa"/>
            <w:vAlign w:val="bottom"/>
            <w:tcBorders>
              <w:bottom w:val="single" w:sz="8" w:color="auto"/>
            </w:tcBorders>
            <w:shd w:val="clear" w:color="auto" w:fill="C0C0C0"/>
          </w:tcPr>
          <w:p>
            <w:pPr>
              <w:ind w:left="14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52.34</w:t>
            </w:r>
          </w:p>
        </w:tc>
        <w:tc>
          <w:tcPr>
            <w:tcW w:w="20" w:type="dxa"/>
            <w:vAlign w:val="bottom"/>
          </w:tcPr>
          <w:p>
            <w:pPr>
              <w:spacing w:after="0"/>
              <w:rPr>
                <w:sz w:val="21"/>
                <w:szCs w:val="21"/>
                <w:color w:val="auto"/>
              </w:rPr>
            </w:pPr>
          </w:p>
        </w:tc>
      </w:tr>
      <w:tr>
        <w:trPr>
          <w:trHeight w:val="237"/>
        </w:trPr>
        <w:tc>
          <w:tcPr>
            <w:tcW w:w="9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Balance at June 30, 2017</w:t>
            </w:r>
          </w:p>
        </w:tc>
        <w:tc>
          <w:tcPr>
            <w:tcW w:w="7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94"/>
              </w:rPr>
              <w:t>69,840</w:t>
            </w:r>
          </w:p>
        </w:tc>
        <w:tc>
          <w:tcPr>
            <w:tcW w:w="3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55.18</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Performance-Based Restricted Stock</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February 2, 2017, the Company granted three-year performance based restricted stock (“PBRS”) awards which are contingent upon the achievement of pre-established financial goals over the period from January 1, 2017 through December 31, 2019. The PBRS awards cliff vest on the three-year anniversary of their grant date at levels ranging from 0% to 150% of the target opportunity based on the actual achievement of financial goals for the three-year performance period. The target number of PBRS shares granted was 23,038 with a grant date fair value of $65.12 per share. The 2017 expense related to this grant is currently estimated to be $458,000 and is based on the grant date fair value and the achievement of 100% of the target financial goals. The estimated expense for 2017 and each future period through the vesting date is subject to prospective adjustment based upon changes in the expected achievement of the financial goals.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SARs</w:t>
      </w:r>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SARs vest over a three-year period, with one-third of the shares vesting and becoming exercisable each year on the anniversary date of the grant, and they expire 10 years from the original grant date. As of June 30, 2017, all compensation expense has been recognized and all granted SARs are vested. Following is a summary of the activity of the Company’s SARs program for the six-month period ended June 30, 2017:</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Weighted-</w:t>
            </w:r>
          </w:p>
        </w:tc>
        <w:tc>
          <w:tcPr>
            <w:tcW w:w="1180" w:type="dxa"/>
            <w:vAlign w:val="bottom"/>
          </w:tcPr>
          <w:p>
            <w:pPr>
              <w:jc w:val="right"/>
              <w:ind w:right="192"/>
              <w:spacing w:after="0"/>
              <w:rPr>
                <w:sz w:val="20"/>
                <w:szCs w:val="20"/>
                <w:color w:val="auto"/>
              </w:rPr>
            </w:pPr>
            <w:r>
              <w:rPr>
                <w:rFonts w:ascii="Arial" w:cs="Arial" w:eastAsia="Arial" w:hAnsi="Arial"/>
                <w:sz w:val="18"/>
                <w:szCs w:val="18"/>
                <w:b w:val="1"/>
                <w:bCs w:val="1"/>
                <w:color w:val="auto"/>
              </w:rPr>
              <w:t>Average</w:t>
            </w:r>
          </w:p>
        </w:tc>
        <w:tc>
          <w:tcPr>
            <w:tcW w:w="260" w:type="dxa"/>
            <w:vAlign w:val="bottom"/>
          </w:tcPr>
          <w:p>
            <w:pPr>
              <w:spacing w:after="0"/>
              <w:rPr>
                <w:sz w:val="19"/>
                <w:szCs w:val="19"/>
                <w:color w:val="auto"/>
              </w:rPr>
            </w:pPr>
          </w:p>
        </w:tc>
        <w:tc>
          <w:tcPr>
            <w:tcW w:w="960" w:type="dxa"/>
            <w:vAlign w:val="bottom"/>
          </w:tcPr>
          <w:p>
            <w:pPr>
              <w:jc w:val="center"/>
              <w:ind w:right="32"/>
              <w:spacing w:after="0"/>
              <w:rPr>
                <w:sz w:val="20"/>
                <w:szCs w:val="20"/>
                <w:color w:val="auto"/>
              </w:rPr>
            </w:pPr>
            <w:r>
              <w:rPr>
                <w:rFonts w:ascii="Arial" w:cs="Arial" w:eastAsia="Arial" w:hAnsi="Arial"/>
                <w:sz w:val="18"/>
                <w:szCs w:val="18"/>
                <w:b w:val="1"/>
                <w:bCs w:val="1"/>
                <w:color w:val="auto"/>
                <w:w w:val="85"/>
              </w:rPr>
              <w:t>Aggregate</w:t>
            </w:r>
          </w:p>
        </w:tc>
      </w:tr>
      <w:tr>
        <w:trPr>
          <w:trHeight w:val="243"/>
        </w:trPr>
        <w:tc>
          <w:tcPr>
            <w:tcW w:w="7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center"/>
              <w:ind w:right="152"/>
              <w:spacing w:after="0"/>
              <w:rPr>
                <w:sz w:val="20"/>
                <w:szCs w:val="20"/>
                <w:color w:val="auto"/>
              </w:rPr>
            </w:pPr>
            <w:r>
              <w:rPr>
                <w:rFonts w:ascii="Arial" w:cs="Arial" w:eastAsia="Arial" w:hAnsi="Arial"/>
                <w:sz w:val="18"/>
                <w:szCs w:val="18"/>
                <w:b w:val="1"/>
                <w:bCs w:val="1"/>
                <w:color w:val="auto"/>
                <w:w w:val="84"/>
              </w:rPr>
              <w:t>Average</w:t>
            </w:r>
          </w:p>
        </w:tc>
        <w:tc>
          <w:tcPr>
            <w:tcW w:w="1180" w:type="dxa"/>
            <w:vAlign w:val="bottom"/>
          </w:tcPr>
          <w:p>
            <w:pPr>
              <w:jc w:val="right"/>
              <w:ind w:right="92"/>
              <w:spacing w:after="0"/>
              <w:rPr>
                <w:sz w:val="20"/>
                <w:szCs w:val="20"/>
                <w:color w:val="auto"/>
              </w:rPr>
            </w:pPr>
            <w:r>
              <w:rPr>
                <w:rFonts w:ascii="Arial" w:cs="Arial" w:eastAsia="Arial" w:hAnsi="Arial"/>
                <w:sz w:val="18"/>
                <w:szCs w:val="18"/>
                <w:b w:val="1"/>
                <w:bCs w:val="1"/>
                <w:color w:val="auto"/>
              </w:rPr>
              <w:t>Remaining</w:t>
            </w:r>
          </w:p>
        </w:tc>
        <w:tc>
          <w:tcPr>
            <w:tcW w:w="260" w:type="dxa"/>
            <w:vAlign w:val="bottom"/>
          </w:tcPr>
          <w:p>
            <w:pPr>
              <w:spacing w:after="0"/>
              <w:rPr>
                <w:sz w:val="21"/>
                <w:szCs w:val="21"/>
                <w:color w:val="auto"/>
              </w:rPr>
            </w:pPr>
          </w:p>
        </w:tc>
        <w:tc>
          <w:tcPr>
            <w:tcW w:w="960" w:type="dxa"/>
            <w:vAlign w:val="bottom"/>
          </w:tcPr>
          <w:p>
            <w:pPr>
              <w:jc w:val="center"/>
              <w:ind w:right="32"/>
              <w:spacing w:after="0"/>
              <w:rPr>
                <w:sz w:val="20"/>
                <w:szCs w:val="20"/>
                <w:color w:val="auto"/>
              </w:rPr>
            </w:pPr>
            <w:r>
              <w:rPr>
                <w:rFonts w:ascii="Arial" w:cs="Arial" w:eastAsia="Arial" w:hAnsi="Arial"/>
                <w:sz w:val="18"/>
                <w:szCs w:val="18"/>
                <w:b w:val="1"/>
                <w:bCs w:val="1"/>
                <w:color w:val="auto"/>
                <w:w w:val="91"/>
              </w:rPr>
              <w:t>Intrinsic</w:t>
            </w:r>
          </w:p>
        </w:tc>
      </w:tr>
      <w:tr>
        <w:trPr>
          <w:trHeight w:val="243"/>
        </w:trPr>
        <w:tc>
          <w:tcPr>
            <w:tcW w:w="7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Exercise</w:t>
            </w:r>
          </w:p>
        </w:tc>
        <w:tc>
          <w:tcPr>
            <w:tcW w:w="1180" w:type="dxa"/>
            <w:vAlign w:val="bottom"/>
          </w:tcPr>
          <w:p>
            <w:pPr>
              <w:jc w:val="right"/>
              <w:ind w:right="52"/>
              <w:spacing w:after="0"/>
              <w:rPr>
                <w:sz w:val="20"/>
                <w:szCs w:val="20"/>
                <w:color w:val="auto"/>
              </w:rPr>
            </w:pPr>
            <w:r>
              <w:rPr>
                <w:rFonts w:ascii="Arial" w:cs="Arial" w:eastAsia="Arial" w:hAnsi="Arial"/>
                <w:sz w:val="18"/>
                <w:szCs w:val="18"/>
                <w:b w:val="1"/>
                <w:bCs w:val="1"/>
                <w:color w:val="auto"/>
              </w:rPr>
              <w:t>Contractual</w:t>
            </w:r>
          </w:p>
        </w:tc>
        <w:tc>
          <w:tcPr>
            <w:tcW w:w="260" w:type="dxa"/>
            <w:vAlign w:val="bottom"/>
          </w:tcPr>
          <w:p>
            <w:pPr>
              <w:spacing w:after="0"/>
              <w:rPr>
                <w:sz w:val="21"/>
                <w:szCs w:val="21"/>
                <w:color w:val="auto"/>
              </w:rPr>
            </w:pPr>
          </w:p>
        </w:tc>
        <w:tc>
          <w:tcPr>
            <w:tcW w:w="960" w:type="dxa"/>
            <w:vAlign w:val="bottom"/>
          </w:tcPr>
          <w:p>
            <w:pPr>
              <w:jc w:val="center"/>
              <w:ind w:right="32"/>
              <w:spacing w:after="0"/>
              <w:rPr>
                <w:sz w:val="20"/>
                <w:szCs w:val="20"/>
                <w:color w:val="auto"/>
              </w:rPr>
            </w:pPr>
            <w:r>
              <w:rPr>
                <w:rFonts w:ascii="Arial" w:cs="Arial" w:eastAsia="Arial" w:hAnsi="Arial"/>
                <w:sz w:val="18"/>
                <w:szCs w:val="18"/>
                <w:b w:val="1"/>
                <w:bCs w:val="1"/>
                <w:color w:val="auto"/>
                <w:w w:val="91"/>
              </w:rPr>
              <w:t>Value</w:t>
            </w:r>
          </w:p>
        </w:tc>
      </w:tr>
      <w:tr>
        <w:trPr>
          <w:trHeight w:val="252"/>
        </w:trPr>
        <w:tc>
          <w:tcPr>
            <w:tcW w:w="71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93"/>
              </w:rPr>
              <w:t>Shares</w:t>
            </w: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center"/>
              <w:ind w:right="152"/>
              <w:spacing w:after="0"/>
              <w:rPr>
                <w:sz w:val="20"/>
                <w:szCs w:val="20"/>
                <w:color w:val="auto"/>
              </w:rPr>
            </w:pPr>
            <w:r>
              <w:rPr>
                <w:rFonts w:ascii="Arial" w:cs="Arial" w:eastAsia="Arial" w:hAnsi="Arial"/>
                <w:sz w:val="18"/>
                <w:szCs w:val="18"/>
                <w:b w:val="1"/>
                <w:bCs w:val="1"/>
                <w:color w:val="auto"/>
                <w:w w:val="90"/>
              </w:rPr>
              <w:t>Price</w:t>
            </w:r>
          </w:p>
        </w:tc>
        <w:tc>
          <w:tcPr>
            <w:tcW w:w="11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Term Years</w:t>
            </w: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i w:val="1"/>
                <w:iCs w:val="1"/>
                <w:color w:val="auto"/>
                <w:w w:val="96"/>
              </w:rPr>
              <w:t>(In thousands)</w:t>
            </w:r>
          </w:p>
        </w:tc>
      </w:tr>
      <w:tr>
        <w:trPr>
          <w:trHeight w:val="243"/>
        </w:trPr>
        <w:tc>
          <w:tcPr>
            <w:tcW w:w="7140" w:type="dxa"/>
            <w:vAlign w:val="bottom"/>
            <w:shd w:val="clear" w:color="auto" w:fill="C0C0C0"/>
          </w:tcPr>
          <w:p>
            <w:pPr>
              <w:spacing w:after="0"/>
              <w:rPr>
                <w:sz w:val="20"/>
                <w:szCs w:val="20"/>
                <w:color w:val="auto"/>
              </w:rPr>
            </w:pPr>
            <w:r>
              <w:rPr>
                <w:rFonts w:ascii="Arial" w:cs="Arial" w:eastAsia="Arial" w:hAnsi="Arial"/>
                <w:sz w:val="18"/>
                <w:szCs w:val="18"/>
                <w:color w:val="auto"/>
              </w:rPr>
              <w:t>Outstanding at December 31, 2016</w:t>
            </w:r>
          </w:p>
        </w:tc>
        <w:tc>
          <w:tcPr>
            <w:tcW w:w="80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w w:val="86"/>
              </w:rPr>
              <w:t>237,468</w:t>
            </w:r>
          </w:p>
        </w:tc>
        <w:tc>
          <w:tcPr>
            <w:tcW w:w="2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38.22</w:t>
            </w:r>
          </w:p>
        </w:tc>
        <w:tc>
          <w:tcPr>
            <w:tcW w:w="11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5.73</w:t>
            </w:r>
          </w:p>
        </w:tc>
        <w:tc>
          <w:tcPr>
            <w:tcW w:w="2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3,201</w:t>
            </w:r>
          </w:p>
        </w:tc>
      </w:tr>
      <w:tr>
        <w:trPr>
          <w:trHeight w:val="237"/>
        </w:trPr>
        <w:tc>
          <w:tcPr>
            <w:tcW w:w="7140" w:type="dxa"/>
            <w:vAlign w:val="bottom"/>
            <w:tcBorders>
              <w:bottom w:val="single" w:sz="8" w:color="C0C0C0"/>
            </w:tcBorders>
          </w:tcPr>
          <w:p>
            <w:pPr>
              <w:spacing w:after="0"/>
              <w:rPr>
                <w:sz w:val="20"/>
                <w:szCs w:val="20"/>
                <w:color w:val="auto"/>
              </w:rPr>
            </w:pPr>
            <w:r>
              <w:rPr>
                <w:rFonts w:ascii="Arial" w:cs="Arial" w:eastAsia="Arial" w:hAnsi="Arial"/>
                <w:sz w:val="18"/>
                <w:szCs w:val="18"/>
                <w:color w:val="auto"/>
              </w:rPr>
              <w:t>Exercised</w:t>
            </w:r>
          </w:p>
        </w:tc>
        <w:tc>
          <w:tcPr>
            <w:tcW w:w="8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2"/>
              </w:rPr>
              <w:t>(15,547)</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40.60</w:t>
            </w:r>
          </w:p>
        </w:tc>
        <w:tc>
          <w:tcPr>
            <w:tcW w:w="11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r>
      <w:tr>
        <w:trPr>
          <w:trHeight w:val="243"/>
        </w:trPr>
        <w:tc>
          <w:tcPr>
            <w:tcW w:w="7140" w:type="dxa"/>
            <w:vAlign w:val="bottom"/>
            <w:shd w:val="clear" w:color="auto" w:fill="C0C0C0"/>
          </w:tcPr>
          <w:p>
            <w:pPr>
              <w:spacing w:after="0"/>
              <w:rPr>
                <w:sz w:val="20"/>
                <w:szCs w:val="20"/>
                <w:color w:val="auto"/>
              </w:rPr>
            </w:pPr>
            <w:r>
              <w:rPr>
                <w:rFonts w:ascii="Arial" w:cs="Arial" w:eastAsia="Arial" w:hAnsi="Arial"/>
                <w:sz w:val="18"/>
                <w:szCs w:val="18"/>
                <w:color w:val="auto"/>
              </w:rPr>
              <w:t>Outstanding at June 30, 2017</w:t>
            </w:r>
          </w:p>
        </w:tc>
        <w:tc>
          <w:tcPr>
            <w:tcW w:w="80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w w:val="86"/>
              </w:rPr>
              <w:t>221,921</w:t>
            </w:r>
          </w:p>
        </w:tc>
        <w:tc>
          <w:tcPr>
            <w:tcW w:w="240" w:type="dxa"/>
            <w:vAlign w:val="bottom"/>
            <w:tcBorders>
              <w:bottom w:val="single" w:sz="8" w:color="auto"/>
            </w:tcBorders>
            <w:shd w:val="clear" w:color="auto" w:fill="C0C0C0"/>
          </w:tcPr>
          <w:p>
            <w:pPr>
              <w:spacing w:after="0"/>
              <w:rPr>
                <w:sz w:val="21"/>
                <w:szCs w:val="21"/>
                <w:color w:val="auto"/>
              </w:rPr>
            </w:pPr>
          </w:p>
        </w:tc>
        <w:tc>
          <w:tcPr>
            <w:tcW w:w="84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38.05</w:t>
            </w:r>
          </w:p>
        </w:tc>
        <w:tc>
          <w:tcPr>
            <w:tcW w:w="118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4.71</w:t>
            </w:r>
          </w:p>
        </w:tc>
        <w:tc>
          <w:tcPr>
            <w:tcW w:w="260" w:type="dxa"/>
            <w:vAlign w:val="bottom"/>
            <w:tcBorders>
              <w:bottom w:val="single" w:sz="8" w:color="auto"/>
            </w:tcBorders>
            <w:shd w:val="clear" w:color="auto" w:fill="C0C0C0"/>
          </w:tcPr>
          <w:p>
            <w:pPr>
              <w:spacing w:after="0"/>
              <w:rPr>
                <w:sz w:val="21"/>
                <w:szCs w:val="21"/>
                <w:color w:val="auto"/>
              </w:rPr>
            </w:pPr>
          </w:p>
        </w:tc>
        <w:tc>
          <w:tcPr>
            <w:tcW w:w="9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6,122</w:t>
            </w:r>
          </w:p>
        </w:tc>
      </w:tr>
      <w:tr>
        <w:trPr>
          <w:trHeight w:val="230"/>
        </w:trPr>
        <w:tc>
          <w:tcPr>
            <w:tcW w:w="7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Exercisable at June 30, 2017</w:t>
            </w:r>
          </w:p>
        </w:tc>
        <w:tc>
          <w:tcPr>
            <w:tcW w:w="8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86"/>
              </w:rPr>
              <w:t>221,921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38.05</w:t>
            </w:r>
          </w:p>
        </w:tc>
        <w:tc>
          <w:tcPr>
            <w:tcW w:w="11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4.71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6,122</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Note 9 – Defined Pension Plans</w:t>
      </w:r>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Company has a noncontributory defined-benefit pension plan, which covers most of its employees. Effective December 31, 2016, the Plan was closed to all new participants. The Company accrues and makes contributions designed to fund normal service costs on a current basis using the projected unit credit with service proration method to amortize prior service costs arising from improvements in pension benefits and qualifying service prior to the establishment of the plan over a period of approximately 30 years. Disclosure information is based on a measurement date of December 31 of the corresponding year. The following table represents the components of the net periodic pension costs: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80" w:type="dxa"/>
            <w:vAlign w:val="bottom"/>
          </w:tcPr>
          <w:p>
            <w:pPr>
              <w:spacing w:after="0"/>
              <w:rPr>
                <w:sz w:val="19"/>
                <w:szCs w:val="19"/>
                <w:color w:val="auto"/>
              </w:rPr>
            </w:pPr>
          </w:p>
        </w:tc>
        <w:tc>
          <w:tcPr>
            <w:tcW w:w="4100" w:type="dxa"/>
            <w:vAlign w:val="bottom"/>
            <w:gridSpan w:val="2"/>
          </w:tcPr>
          <w:p>
            <w:pPr>
              <w:jc w:val="right"/>
              <w:ind w:right="92"/>
              <w:spacing w:after="0"/>
              <w:rPr>
                <w:sz w:val="20"/>
                <w:szCs w:val="20"/>
                <w:color w:val="auto"/>
              </w:rPr>
            </w:pPr>
            <w:r>
              <w:rPr>
                <w:rFonts w:ascii="Arial" w:cs="Arial" w:eastAsia="Arial" w:hAnsi="Arial"/>
                <w:sz w:val="18"/>
                <w:szCs w:val="18"/>
                <w:b w:val="1"/>
                <w:bCs w:val="1"/>
                <w:color w:val="auto"/>
              </w:rPr>
              <w:t>Estimated</w:t>
            </w:r>
          </w:p>
        </w:tc>
        <w:tc>
          <w:tcPr>
            <w:tcW w:w="300" w:type="dxa"/>
            <w:vAlign w:val="bottom"/>
          </w:tcPr>
          <w:p>
            <w:pPr>
              <w:spacing w:after="0"/>
              <w:rPr>
                <w:sz w:val="19"/>
                <w:szCs w:val="19"/>
                <w:color w:val="auto"/>
              </w:rPr>
            </w:pPr>
          </w:p>
        </w:tc>
        <w:tc>
          <w:tcPr>
            <w:tcW w:w="740" w:type="dxa"/>
            <w:vAlign w:val="bottom"/>
          </w:tcPr>
          <w:p>
            <w:pPr>
              <w:jc w:val="right"/>
              <w:ind w:right="112"/>
              <w:spacing w:after="0"/>
              <w:rPr>
                <w:sz w:val="20"/>
                <w:szCs w:val="20"/>
                <w:color w:val="auto"/>
              </w:rPr>
            </w:pPr>
            <w:r>
              <w:rPr>
                <w:rFonts w:ascii="Arial" w:cs="Arial" w:eastAsia="Arial" w:hAnsi="Arial"/>
                <w:sz w:val="18"/>
                <w:szCs w:val="18"/>
                <w:b w:val="1"/>
                <w:bCs w:val="1"/>
                <w:color w:val="auto"/>
                <w:w w:val="94"/>
              </w:rPr>
              <w:t>Actual</w:t>
            </w:r>
          </w:p>
        </w:tc>
      </w:tr>
      <w:tr>
        <w:trPr>
          <w:trHeight w:val="252"/>
        </w:trPr>
        <w:tc>
          <w:tcPr>
            <w:tcW w:w="6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3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w w:val="99"/>
              </w:rPr>
              <w:t>2017</w:t>
            </w:r>
          </w:p>
        </w:tc>
        <w:tc>
          <w:tcPr>
            <w:tcW w:w="3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2016</w:t>
            </w:r>
          </w:p>
        </w:tc>
      </w:tr>
      <w:tr>
        <w:trPr>
          <w:trHeight w:val="243"/>
        </w:trPr>
        <w:tc>
          <w:tcPr>
            <w:tcW w:w="6280" w:type="dxa"/>
            <w:vAlign w:val="bottom"/>
            <w:shd w:val="clear" w:color="auto" w:fill="C0C0C0"/>
          </w:tcPr>
          <w:p>
            <w:pPr>
              <w:spacing w:after="0"/>
              <w:rPr>
                <w:sz w:val="20"/>
                <w:szCs w:val="20"/>
                <w:color w:val="auto"/>
              </w:rPr>
            </w:pPr>
            <w:r>
              <w:rPr>
                <w:rFonts w:ascii="Arial" w:cs="Arial" w:eastAsia="Arial" w:hAnsi="Arial"/>
                <w:sz w:val="18"/>
                <w:szCs w:val="18"/>
                <w:color w:val="auto"/>
              </w:rPr>
              <w:t>Service cost – benefits earned during the year</w:t>
            </w:r>
          </w:p>
        </w:tc>
        <w:tc>
          <w:tcPr>
            <w:tcW w:w="32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3,805</w:t>
            </w:r>
          </w:p>
        </w:tc>
        <w:tc>
          <w:tcPr>
            <w:tcW w:w="3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3,559</w:t>
            </w:r>
          </w:p>
        </w:tc>
      </w:tr>
      <w:tr>
        <w:trPr>
          <w:trHeight w:val="235"/>
        </w:trPr>
        <w:tc>
          <w:tcPr>
            <w:tcW w:w="6280" w:type="dxa"/>
            <w:vAlign w:val="bottom"/>
          </w:tcPr>
          <w:p>
            <w:pPr>
              <w:spacing w:after="0"/>
              <w:rPr>
                <w:sz w:val="20"/>
                <w:szCs w:val="20"/>
                <w:color w:val="auto"/>
              </w:rPr>
            </w:pPr>
            <w:r>
              <w:rPr>
                <w:rFonts w:ascii="Arial" w:cs="Arial" w:eastAsia="Arial" w:hAnsi="Arial"/>
                <w:sz w:val="18"/>
                <w:szCs w:val="18"/>
                <w:color w:val="auto"/>
              </w:rPr>
              <w:t>Interest cost on projected benefit obligations</w:t>
            </w:r>
          </w:p>
        </w:tc>
        <w:tc>
          <w:tcPr>
            <w:tcW w:w="3240" w:type="dxa"/>
            <w:vAlign w:val="bottom"/>
          </w:tcPr>
          <w:p>
            <w:pPr>
              <w:spacing w:after="0"/>
              <w:rPr>
                <w:sz w:val="20"/>
                <w:szCs w:val="20"/>
                <w:color w:val="auto"/>
              </w:rPr>
            </w:pP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3,587</w:t>
            </w:r>
          </w:p>
        </w:tc>
        <w:tc>
          <w:tcPr>
            <w:tcW w:w="300" w:type="dxa"/>
            <w:vAlign w:val="bottom"/>
          </w:tcPr>
          <w:p>
            <w:pPr>
              <w:spacing w:after="0"/>
              <w:rPr>
                <w:sz w:val="20"/>
                <w:szCs w:val="20"/>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3,505</w:t>
            </w:r>
          </w:p>
        </w:tc>
      </w:tr>
      <w:tr>
        <w:trPr>
          <w:trHeight w:val="251"/>
        </w:trPr>
        <w:tc>
          <w:tcPr>
            <w:tcW w:w="6280" w:type="dxa"/>
            <w:vAlign w:val="bottom"/>
            <w:shd w:val="clear" w:color="auto" w:fill="C0C0C0"/>
          </w:tcPr>
          <w:p>
            <w:pPr>
              <w:spacing w:after="0"/>
              <w:rPr>
                <w:sz w:val="20"/>
                <w:szCs w:val="20"/>
                <w:color w:val="auto"/>
              </w:rPr>
            </w:pPr>
            <w:r>
              <w:rPr>
                <w:rFonts w:ascii="Arial" w:cs="Arial" w:eastAsia="Arial" w:hAnsi="Arial"/>
                <w:sz w:val="18"/>
                <w:szCs w:val="18"/>
                <w:color w:val="auto"/>
              </w:rPr>
              <w:t>Expected return on plan assets</w:t>
            </w:r>
          </w:p>
        </w:tc>
        <w:tc>
          <w:tcPr>
            <w:tcW w:w="3240" w:type="dxa"/>
            <w:vAlign w:val="bottom"/>
            <w:shd w:val="clear" w:color="auto" w:fill="C0C0C0"/>
          </w:tcPr>
          <w:p>
            <w:pPr>
              <w:spacing w:after="0"/>
              <w:rPr>
                <w:sz w:val="21"/>
                <w:szCs w:val="21"/>
                <w:color w:val="auto"/>
              </w:rPr>
            </w:pPr>
          </w:p>
        </w:tc>
        <w:tc>
          <w:tcPr>
            <w:tcW w:w="86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(4,680)</w:t>
            </w:r>
          </w:p>
        </w:tc>
        <w:tc>
          <w:tcPr>
            <w:tcW w:w="300" w:type="dxa"/>
            <w:vAlign w:val="bottom"/>
            <w:shd w:val="clear" w:color="auto" w:fill="C0C0C0"/>
          </w:tcPr>
          <w:p>
            <w:pPr>
              <w:spacing w:after="0"/>
              <w:rPr>
                <w:sz w:val="21"/>
                <w:szCs w:val="21"/>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(4,734)</w:t>
            </w:r>
          </w:p>
        </w:tc>
      </w:tr>
      <w:tr>
        <w:trPr>
          <w:trHeight w:val="237"/>
        </w:trPr>
        <w:tc>
          <w:tcPr>
            <w:tcW w:w="6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amortization and deferral</w:t>
            </w:r>
          </w:p>
        </w:tc>
        <w:tc>
          <w:tcPr>
            <w:tcW w:w="3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1,328</w:t>
            </w:r>
          </w:p>
        </w:tc>
        <w:tc>
          <w:tcPr>
            <w:tcW w:w="3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1,259</w:t>
            </w:r>
          </w:p>
        </w:tc>
      </w:tr>
      <w:tr>
        <w:trPr>
          <w:trHeight w:val="237"/>
        </w:trPr>
        <w:tc>
          <w:tcPr>
            <w:tcW w:w="6280" w:type="dxa"/>
            <w:vAlign w:val="bottom"/>
            <w:tcBorders>
              <w:bottom w:val="single" w:sz="8" w:color="auto"/>
            </w:tcBorders>
            <w:shd w:val="clear" w:color="auto" w:fill="C0C0C0"/>
          </w:tcPr>
          <w:p>
            <w:pPr>
              <w:ind w:left="280"/>
              <w:spacing w:after="0"/>
              <w:rPr>
                <w:sz w:val="20"/>
                <w:szCs w:val="20"/>
                <w:color w:val="auto"/>
              </w:rPr>
            </w:pPr>
            <w:r>
              <w:rPr>
                <w:rFonts w:ascii="Arial" w:cs="Arial" w:eastAsia="Arial" w:hAnsi="Arial"/>
                <w:sz w:val="18"/>
                <w:szCs w:val="18"/>
                <w:color w:val="auto"/>
              </w:rPr>
              <w:t>Net periodic pension cost</w:t>
            </w:r>
          </w:p>
        </w:tc>
        <w:tc>
          <w:tcPr>
            <w:tcW w:w="32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4,040</w:t>
            </w:r>
          </w:p>
        </w:tc>
        <w:tc>
          <w:tcPr>
            <w:tcW w:w="3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3,589</w:t>
            </w:r>
          </w:p>
        </w:tc>
      </w:tr>
    </w:tbl>
    <w:p>
      <w:pPr>
        <w:spacing w:after="0" w:line="208"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Pension costs recorded to expense were $1,017,000 and $882,000 for the three-month periods ended June 30, 2017 and 2016, respectively and $2,037,000 and $1,759,000 for the six-month periods ended June 30, 2017 and 2016, respectively. Pension costs increased in 2017 due to a decrease in the discount rate and expected return on plan assets assumptions and the use of the updated mortality tables. The Company made no contribution to the plan during the six-month period ended June 30, 2017 and is evaluating the amount of additional contributions, if any, in the remainder of 2017.</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jc w:val="both"/>
        <w:spacing w:after="0" w:line="335" w:lineRule="auto"/>
        <w:rPr>
          <w:sz w:val="20"/>
          <w:szCs w:val="20"/>
          <w:color w:val="auto"/>
        </w:rPr>
      </w:pPr>
      <w:r>
        <w:rPr>
          <w:rFonts w:ascii="Arial" w:cs="Arial" w:eastAsia="Arial" w:hAnsi="Arial"/>
          <w:sz w:val="15"/>
          <w:szCs w:val="15"/>
          <w:color w:val="auto"/>
        </w:rPr>
        <w:t>In addition to the above funded benefit plan, the Company has an unfunded supplemental executive retirement plan which covers key executives of the Company. This is a noncontributory plan in which the Company and its subsidiaries make accruals designed to fund normal service costs on a current basis using the same method and criteria as its defined benefit plan. The following table represents the components of the net periodic pension costs for 2016 and an estimate for 2017:</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380" w:type="dxa"/>
            <w:vAlign w:val="bottom"/>
          </w:tcPr>
          <w:p>
            <w:pPr>
              <w:spacing w:after="0"/>
              <w:rPr>
                <w:sz w:val="19"/>
                <w:szCs w:val="19"/>
                <w:color w:val="auto"/>
              </w:rPr>
            </w:pPr>
          </w:p>
        </w:tc>
        <w:tc>
          <w:tcPr>
            <w:tcW w:w="4220" w:type="dxa"/>
            <w:vAlign w:val="bottom"/>
            <w:gridSpan w:val="2"/>
          </w:tcPr>
          <w:p>
            <w:pPr>
              <w:jc w:val="right"/>
              <w:ind w:right="132"/>
              <w:spacing w:after="0"/>
              <w:rPr>
                <w:sz w:val="20"/>
                <w:szCs w:val="20"/>
                <w:color w:val="auto"/>
              </w:rPr>
            </w:pPr>
            <w:r>
              <w:rPr>
                <w:rFonts w:ascii="Arial" w:cs="Arial" w:eastAsia="Arial" w:hAnsi="Arial"/>
                <w:sz w:val="18"/>
                <w:szCs w:val="18"/>
                <w:b w:val="1"/>
                <w:bCs w:val="1"/>
                <w:color w:val="auto"/>
              </w:rPr>
              <w:t>Estimated</w:t>
            </w:r>
          </w:p>
        </w:tc>
        <w:tc>
          <w:tcPr>
            <w:tcW w:w="220" w:type="dxa"/>
            <w:vAlign w:val="bottom"/>
          </w:tcPr>
          <w:p>
            <w:pPr>
              <w:spacing w:after="0"/>
              <w:rPr>
                <w:sz w:val="19"/>
                <w:szCs w:val="19"/>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b w:val="1"/>
                <w:bCs w:val="1"/>
                <w:color w:val="auto"/>
                <w:w w:val="87"/>
              </w:rPr>
              <w:t>Actual</w:t>
            </w:r>
          </w:p>
        </w:tc>
      </w:tr>
      <w:tr>
        <w:trPr>
          <w:trHeight w:val="252"/>
        </w:trPr>
        <w:tc>
          <w:tcPr>
            <w:tcW w:w="6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3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2016</w:t>
            </w:r>
          </w:p>
        </w:tc>
      </w:tr>
      <w:tr>
        <w:trPr>
          <w:trHeight w:val="243"/>
        </w:trPr>
        <w:tc>
          <w:tcPr>
            <w:tcW w:w="6380" w:type="dxa"/>
            <w:vAlign w:val="bottom"/>
            <w:shd w:val="clear" w:color="auto" w:fill="C0C0C0"/>
          </w:tcPr>
          <w:p>
            <w:pPr>
              <w:spacing w:after="0"/>
              <w:rPr>
                <w:sz w:val="20"/>
                <w:szCs w:val="20"/>
                <w:color w:val="auto"/>
              </w:rPr>
            </w:pPr>
            <w:r>
              <w:rPr>
                <w:rFonts w:ascii="Arial" w:cs="Arial" w:eastAsia="Arial" w:hAnsi="Arial"/>
                <w:sz w:val="18"/>
                <w:szCs w:val="18"/>
                <w:color w:val="auto"/>
              </w:rPr>
              <w:t>Service cost – benefits earned during the year</w:t>
            </w:r>
          </w:p>
        </w:tc>
        <w:tc>
          <w:tcPr>
            <w:tcW w:w="33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143</w:t>
            </w:r>
          </w:p>
        </w:tc>
        <w:tc>
          <w:tcPr>
            <w:tcW w:w="2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133</w:t>
            </w:r>
          </w:p>
        </w:tc>
      </w:tr>
      <w:tr>
        <w:trPr>
          <w:trHeight w:val="235"/>
        </w:trPr>
        <w:tc>
          <w:tcPr>
            <w:tcW w:w="6380" w:type="dxa"/>
            <w:vAlign w:val="bottom"/>
          </w:tcPr>
          <w:p>
            <w:pPr>
              <w:spacing w:after="0"/>
              <w:rPr>
                <w:sz w:val="20"/>
                <w:szCs w:val="20"/>
                <w:color w:val="auto"/>
              </w:rPr>
            </w:pPr>
            <w:r>
              <w:rPr>
                <w:rFonts w:ascii="Arial" w:cs="Arial" w:eastAsia="Arial" w:hAnsi="Arial"/>
                <w:sz w:val="18"/>
                <w:szCs w:val="18"/>
                <w:color w:val="auto"/>
              </w:rPr>
              <w:t>Interest cost on projected benefit obligation</w:t>
            </w:r>
          </w:p>
        </w:tc>
        <w:tc>
          <w:tcPr>
            <w:tcW w:w="3340" w:type="dxa"/>
            <w:vAlign w:val="bottom"/>
          </w:tcPr>
          <w:p>
            <w:pPr>
              <w:spacing w:after="0"/>
              <w:rPr>
                <w:sz w:val="20"/>
                <w:szCs w:val="20"/>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361</w:t>
            </w:r>
          </w:p>
        </w:tc>
        <w:tc>
          <w:tcPr>
            <w:tcW w:w="2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367</w:t>
            </w:r>
          </w:p>
        </w:tc>
      </w:tr>
      <w:tr>
        <w:trPr>
          <w:trHeight w:val="244"/>
        </w:trPr>
        <w:tc>
          <w:tcPr>
            <w:tcW w:w="638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Net amortization</w:t>
            </w:r>
          </w:p>
        </w:tc>
        <w:tc>
          <w:tcPr>
            <w:tcW w:w="3340" w:type="dxa"/>
            <w:vAlign w:val="bottom"/>
            <w:tcBorders>
              <w:bottom w:val="single" w:sz="8" w:color="auto"/>
            </w:tcBorders>
            <w:shd w:val="clear" w:color="auto" w:fill="C0C0C0"/>
          </w:tcPr>
          <w:p>
            <w:pPr>
              <w:spacing w:after="0"/>
              <w:rPr>
                <w:sz w:val="21"/>
                <w:szCs w:val="21"/>
                <w:color w:val="auto"/>
              </w:rPr>
            </w:pPr>
          </w:p>
        </w:tc>
        <w:tc>
          <w:tcPr>
            <w:tcW w:w="88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323</w:t>
            </w:r>
          </w:p>
        </w:tc>
        <w:tc>
          <w:tcPr>
            <w:tcW w:w="220" w:type="dxa"/>
            <w:vAlign w:val="bottom"/>
            <w:tcBorders>
              <w:bottom w:val="single" w:sz="8" w:color="auto"/>
            </w:tcBorders>
            <w:shd w:val="clear" w:color="auto" w:fill="C0C0C0"/>
          </w:tcPr>
          <w:p>
            <w:pPr>
              <w:spacing w:after="0"/>
              <w:rPr>
                <w:sz w:val="21"/>
                <w:szCs w:val="21"/>
                <w:color w:val="auto"/>
              </w:rPr>
            </w:pPr>
          </w:p>
        </w:tc>
        <w:tc>
          <w:tcPr>
            <w:tcW w:w="6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295</w:t>
            </w:r>
          </w:p>
        </w:tc>
      </w:tr>
      <w:tr>
        <w:trPr>
          <w:trHeight w:val="237"/>
        </w:trPr>
        <w:tc>
          <w:tcPr>
            <w:tcW w:w="638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Net periodic pension cost</w:t>
            </w:r>
          </w:p>
        </w:tc>
        <w:tc>
          <w:tcPr>
            <w:tcW w:w="3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827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w:t>
            </w:r>
          </w:p>
        </w:tc>
      </w:tr>
    </w:tbl>
    <w:p>
      <w:pPr>
        <w:spacing w:after="0" w:line="20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Pension costs recorded to expense were $209,000 and $202,000 for the three-month periods ended June 30, 2017 and 2016, respectively, and were $418,000 and $403,000 for the six-month periods ended June 30, 2017 and 2016,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Note 10 – Income Taxes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June 30, 2017, the Company’s unrecognized tax benefits were approximately $1,835,000, of which $1,416,000 would, if recognized, affect the Company’s effective tax rate. As of December 31, 2016, the Company’s unrecognized tax benefits were approximately $1,623,000, of which $1,225,000 would, if recognized, affect the Company’s effective tax rate. During the next 12 months, the Company may realize a reduction of its unrecognized tax benefits of approximately $253,000 due to the lapse of federal and state statutes of limitations.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recognizes interest and penalties related to uncertain tax positions in income tax expense. The Company had $142,000 and $108,000 of gross interest accrued as of June 30, 2017 and December 31, 2016, respectively. There were no penalties for unrecognized tax benefits accrued at June 30, 2017 and December 31, 2016.</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subject to income tax in the U.S. federal jurisdiction and numerous state jurisdictions. U.S. federal income tax returns for tax years 2013 through 2015 remain subject to examination by the Internal Revenue Service. In addition, the Company is subject to state tax examinations for the tax years 2012 through 2015.</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On January 1, 2017, the Company adopted ASU No. 2016-09 – </w:t>
      </w:r>
      <w:r>
        <w:rPr>
          <w:rFonts w:ascii="Arial" w:cs="Arial" w:eastAsia="Arial" w:hAnsi="Arial"/>
          <w:sz w:val="18"/>
          <w:szCs w:val="18"/>
          <w:i w:val="1"/>
          <w:iCs w:val="1"/>
          <w:color w:val="auto"/>
        </w:rPr>
        <w:t>Stock Compensation (Topic 718): Improvements to Employee Share-Based Payment Accounting</w:t>
      </w:r>
      <w:r>
        <w:rPr>
          <w:rFonts w:ascii="Arial" w:cs="Arial" w:eastAsia="Arial" w:hAnsi="Arial"/>
          <w:sz w:val="18"/>
          <w:szCs w:val="18"/>
          <w:color w:val="auto"/>
        </w:rPr>
        <w:t>. The adoption of this new accounting pronouncement resulted in a $35,000 and $278,000 reduction in income tax expense for the three-month and six-month periods ending June 30, 2017,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Note 11 – Investment in Securities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Investment securities available-for-sale are recorded at fair value on a recurring basis. The Company’s investment securities available-for-sale are measured at fair value using Level 2 valuations. The market evaluation utilizes several sources which include “observable inputs” rather than “significant unobservable inputs” and therefore fall into the Level 2 category. The amortized cost, gross unrealized gains, gross unrealized losses and fair value of investment securities are summarized as follows: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7"/>
        </w:trPr>
        <w:tc>
          <w:tcPr>
            <w:tcW w:w="7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ind w:right="472"/>
              <w:spacing w:after="0"/>
              <w:rPr>
                <w:sz w:val="20"/>
                <w:szCs w:val="20"/>
                <w:color w:val="auto"/>
              </w:rPr>
            </w:pPr>
            <w:r>
              <w:rPr>
                <w:rFonts w:ascii="Arial" w:cs="Arial" w:eastAsia="Arial" w:hAnsi="Arial"/>
                <w:sz w:val="18"/>
                <w:szCs w:val="18"/>
                <w:b w:val="1"/>
                <w:bCs w:val="1"/>
                <w:color w:val="auto"/>
              </w:rPr>
              <w:t>June 30, 2017</w:t>
            </w:r>
          </w:p>
        </w:tc>
        <w:tc>
          <w:tcPr>
            <w:tcW w:w="3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r>
      <w:tr>
        <w:trPr>
          <w:trHeight w:val="228"/>
        </w:trPr>
        <w:tc>
          <w:tcPr>
            <w:tcW w:w="7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ind w:right="252"/>
              <w:spacing w:after="0"/>
              <w:rPr>
                <w:sz w:val="20"/>
                <w:szCs w:val="20"/>
                <w:color w:val="auto"/>
              </w:rPr>
            </w:pPr>
            <w:r>
              <w:rPr>
                <w:rFonts w:ascii="Arial" w:cs="Arial" w:eastAsia="Arial" w:hAnsi="Arial"/>
                <w:sz w:val="18"/>
                <w:szCs w:val="18"/>
                <w:b w:val="1"/>
                <w:bCs w:val="1"/>
                <w:color w:val="auto"/>
                <w:w w:val="88"/>
              </w:rPr>
              <w:t>Gross</w:t>
            </w:r>
          </w:p>
        </w:tc>
        <w:tc>
          <w:tcPr>
            <w:tcW w:w="240" w:type="dxa"/>
            <w:vAlign w:val="bottom"/>
          </w:tcPr>
          <w:p>
            <w:pPr>
              <w:spacing w:after="0"/>
              <w:rPr>
                <w:sz w:val="19"/>
                <w:szCs w:val="19"/>
                <w:color w:val="auto"/>
              </w:rPr>
            </w:pPr>
          </w:p>
        </w:tc>
        <w:tc>
          <w:tcPr>
            <w:tcW w:w="840" w:type="dxa"/>
            <w:vAlign w:val="bottom"/>
          </w:tcPr>
          <w:p>
            <w:pPr>
              <w:jc w:val="center"/>
              <w:ind w:right="192"/>
              <w:spacing w:after="0"/>
              <w:rPr>
                <w:sz w:val="20"/>
                <w:szCs w:val="20"/>
                <w:color w:val="auto"/>
              </w:rPr>
            </w:pPr>
            <w:r>
              <w:rPr>
                <w:rFonts w:ascii="Arial" w:cs="Arial" w:eastAsia="Arial" w:hAnsi="Arial"/>
                <w:sz w:val="18"/>
                <w:szCs w:val="18"/>
                <w:b w:val="1"/>
                <w:bCs w:val="1"/>
                <w:color w:val="auto"/>
                <w:w w:val="84"/>
              </w:rPr>
              <w:t>Gross</w:t>
            </w: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42"/>
        </w:trPr>
        <w:tc>
          <w:tcPr>
            <w:tcW w:w="7340" w:type="dxa"/>
            <w:vAlign w:val="bottom"/>
          </w:tcPr>
          <w:p>
            <w:pPr>
              <w:spacing w:after="0"/>
              <w:rPr>
                <w:sz w:val="21"/>
                <w:szCs w:val="21"/>
                <w:color w:val="auto"/>
              </w:rPr>
            </w:pPr>
          </w:p>
        </w:tc>
        <w:tc>
          <w:tcPr>
            <w:tcW w:w="940" w:type="dxa"/>
            <w:vAlign w:val="bottom"/>
            <w:gridSpan w:val="2"/>
          </w:tcPr>
          <w:p>
            <w:pPr>
              <w:spacing w:after="0"/>
              <w:rPr>
                <w:sz w:val="20"/>
                <w:szCs w:val="20"/>
                <w:color w:val="auto"/>
              </w:rPr>
            </w:pPr>
            <w:r>
              <w:rPr>
                <w:rFonts w:ascii="Arial" w:cs="Arial" w:eastAsia="Arial" w:hAnsi="Arial"/>
                <w:sz w:val="18"/>
                <w:szCs w:val="18"/>
                <w:b w:val="1"/>
                <w:bCs w:val="1"/>
                <w:color w:val="auto"/>
              </w:rPr>
              <w:t>Amortized</w:t>
            </w:r>
          </w:p>
        </w:tc>
        <w:tc>
          <w:tcPr>
            <w:tcW w:w="1100" w:type="dxa"/>
            <w:vAlign w:val="bottom"/>
            <w:gridSpan w:val="2"/>
          </w:tcPr>
          <w:p>
            <w:pPr>
              <w:ind w:left="140"/>
              <w:spacing w:after="0"/>
              <w:rPr>
                <w:sz w:val="20"/>
                <w:szCs w:val="20"/>
                <w:color w:val="auto"/>
              </w:rPr>
            </w:pPr>
            <w:r>
              <w:rPr>
                <w:rFonts w:ascii="Arial" w:cs="Arial" w:eastAsia="Arial" w:hAnsi="Arial"/>
                <w:sz w:val="18"/>
                <w:szCs w:val="18"/>
                <w:b w:val="1"/>
                <w:bCs w:val="1"/>
                <w:color w:val="auto"/>
              </w:rPr>
              <w:t>Unrealized</w:t>
            </w:r>
          </w:p>
        </w:tc>
        <w:tc>
          <w:tcPr>
            <w:tcW w:w="1080" w:type="dxa"/>
            <w:vAlign w:val="bottom"/>
            <w:gridSpan w:val="2"/>
          </w:tcPr>
          <w:p>
            <w:pPr>
              <w:ind w:left="120"/>
              <w:spacing w:after="0"/>
              <w:rPr>
                <w:sz w:val="20"/>
                <w:szCs w:val="20"/>
                <w:color w:val="auto"/>
              </w:rPr>
            </w:pPr>
            <w:r>
              <w:rPr>
                <w:rFonts w:ascii="Arial" w:cs="Arial" w:eastAsia="Arial" w:hAnsi="Arial"/>
                <w:sz w:val="18"/>
                <w:szCs w:val="18"/>
                <w:b w:val="1"/>
                <w:bCs w:val="1"/>
                <w:color w:val="auto"/>
              </w:rPr>
              <w:t>Unrealized</w:t>
            </w: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52"/>
        </w:trPr>
        <w:tc>
          <w:tcPr>
            <w:tcW w:w="7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w w:val="99"/>
              </w:rPr>
              <w:t>Cost</w:t>
            </w:r>
          </w:p>
        </w:tc>
        <w:tc>
          <w:tcPr>
            <w:tcW w:w="2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w w:val="91"/>
              </w:rPr>
              <w:t>Gains</w:t>
            </w: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center"/>
              <w:ind w:right="172"/>
              <w:spacing w:after="0"/>
              <w:rPr>
                <w:sz w:val="20"/>
                <w:szCs w:val="20"/>
                <w:color w:val="auto"/>
              </w:rPr>
            </w:pPr>
            <w:r>
              <w:rPr>
                <w:rFonts w:ascii="Arial" w:cs="Arial" w:eastAsia="Arial" w:hAnsi="Arial"/>
                <w:sz w:val="18"/>
                <w:szCs w:val="18"/>
                <w:b w:val="1"/>
                <w:bCs w:val="1"/>
                <w:color w:val="auto"/>
                <w:w w:val="80"/>
              </w:rPr>
              <w:t>Losses</w:t>
            </w: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Fair Value</w:t>
            </w:r>
          </w:p>
        </w:tc>
      </w:tr>
      <w:tr>
        <w:trPr>
          <w:trHeight w:val="243"/>
        </w:trPr>
        <w:tc>
          <w:tcPr>
            <w:tcW w:w="7340" w:type="dxa"/>
            <w:vAlign w:val="bottom"/>
            <w:shd w:val="clear" w:color="auto" w:fill="C0C0C0"/>
          </w:tcPr>
          <w:p>
            <w:pPr>
              <w:spacing w:after="0"/>
              <w:rPr>
                <w:sz w:val="20"/>
                <w:szCs w:val="20"/>
                <w:color w:val="auto"/>
              </w:rPr>
            </w:pPr>
            <w:r>
              <w:rPr>
                <w:rFonts w:ascii="Arial" w:cs="Arial" w:eastAsia="Arial" w:hAnsi="Arial"/>
                <w:sz w:val="18"/>
                <w:szCs w:val="18"/>
                <w:color w:val="auto"/>
              </w:rPr>
              <w:t>State and political subdivisions</w:t>
            </w:r>
          </w:p>
        </w:tc>
        <w:tc>
          <w:tcPr>
            <w:tcW w:w="16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w w:val="98"/>
              </w:rPr>
              <w:t>403,935</w:t>
            </w:r>
          </w:p>
        </w:tc>
        <w:tc>
          <w:tcPr>
            <w:tcW w:w="280" w:type="dxa"/>
            <w:vAlign w:val="bottom"/>
            <w:shd w:val="clear" w:color="auto" w:fill="C0C0C0"/>
          </w:tcPr>
          <w:p>
            <w:pPr>
              <w:ind w:lef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11,256</w:t>
            </w:r>
          </w:p>
        </w:tc>
        <w:tc>
          <w:tcPr>
            <w:tcW w:w="240" w:type="dxa"/>
            <w:vAlign w:val="bottom"/>
            <w:shd w:val="clear" w:color="auto" w:fill="C0C0C0"/>
          </w:tcPr>
          <w:p>
            <w:pPr>
              <w:ind w:left="12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1,076</w:t>
            </w:r>
          </w:p>
        </w:tc>
        <w:tc>
          <w:tcPr>
            <w:tcW w:w="3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8"/>
              </w:rPr>
              <w:t>414,115</w:t>
            </w:r>
          </w:p>
        </w:tc>
      </w:tr>
      <w:tr>
        <w:trPr>
          <w:trHeight w:val="235"/>
        </w:trPr>
        <w:tc>
          <w:tcPr>
            <w:tcW w:w="7340" w:type="dxa"/>
            <w:vAlign w:val="bottom"/>
          </w:tcPr>
          <w:p>
            <w:pPr>
              <w:spacing w:after="0"/>
              <w:rPr>
                <w:sz w:val="20"/>
                <w:szCs w:val="20"/>
                <w:color w:val="auto"/>
              </w:rPr>
            </w:pPr>
            <w:r>
              <w:rPr>
                <w:rFonts w:ascii="Arial" w:cs="Arial" w:eastAsia="Arial" w:hAnsi="Arial"/>
                <w:sz w:val="18"/>
                <w:szCs w:val="18"/>
                <w:color w:val="auto"/>
              </w:rPr>
              <w:t>U.S. government agencies</w:t>
            </w:r>
          </w:p>
        </w:tc>
        <w:tc>
          <w:tcPr>
            <w:tcW w:w="160" w:type="dxa"/>
            <w:vAlign w:val="bottom"/>
          </w:tcPr>
          <w:p>
            <w:pPr>
              <w:spacing w:after="0"/>
              <w:rPr>
                <w:sz w:val="20"/>
                <w:szCs w:val="20"/>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12,446</w:t>
            </w:r>
          </w:p>
        </w:tc>
        <w:tc>
          <w:tcPr>
            <w:tcW w:w="280" w:type="dxa"/>
            <w:vAlign w:val="bottom"/>
          </w:tcPr>
          <w:p>
            <w:pPr>
              <w:spacing w:after="0"/>
              <w:rPr>
                <w:sz w:val="20"/>
                <w:szCs w:val="20"/>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328</w:t>
            </w:r>
          </w:p>
        </w:tc>
        <w:tc>
          <w:tcPr>
            <w:tcW w:w="3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12,118</w:t>
            </w:r>
          </w:p>
        </w:tc>
      </w:tr>
      <w:tr>
        <w:trPr>
          <w:trHeight w:val="244"/>
        </w:trPr>
        <w:tc>
          <w:tcPr>
            <w:tcW w:w="734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Certificates of deposit</w:t>
            </w:r>
          </w:p>
        </w:tc>
        <w:tc>
          <w:tcPr>
            <w:tcW w:w="160" w:type="dxa"/>
            <w:vAlign w:val="bottom"/>
            <w:tcBorders>
              <w:bottom w:val="single" w:sz="8" w:color="auto"/>
            </w:tcBorders>
            <w:shd w:val="clear" w:color="auto" w:fill="C0C0C0"/>
          </w:tcPr>
          <w:p>
            <w:pPr>
              <w:spacing w:after="0"/>
              <w:rPr>
                <w:sz w:val="21"/>
                <w:szCs w:val="21"/>
                <w:color w:val="auto"/>
              </w:rPr>
            </w:pPr>
          </w:p>
        </w:tc>
        <w:tc>
          <w:tcPr>
            <w:tcW w:w="78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5,746</w:t>
            </w:r>
          </w:p>
        </w:tc>
        <w:tc>
          <w:tcPr>
            <w:tcW w:w="280" w:type="dxa"/>
            <w:vAlign w:val="bottom"/>
            <w:tcBorders>
              <w:bottom w:val="single" w:sz="8" w:color="auto"/>
            </w:tcBorders>
            <w:shd w:val="clear" w:color="auto" w:fill="C0C0C0"/>
          </w:tcPr>
          <w:p>
            <w:pPr>
              <w:spacing w:after="0"/>
              <w:rPr>
                <w:sz w:val="21"/>
                <w:szCs w:val="21"/>
                <w:color w:val="auto"/>
              </w:rPr>
            </w:pPr>
          </w:p>
        </w:tc>
        <w:tc>
          <w:tcPr>
            <w:tcW w:w="82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0C0C0"/>
          </w:tcPr>
          <w:p>
            <w:pPr>
              <w:spacing w:after="0"/>
              <w:rPr>
                <w:sz w:val="21"/>
                <w:szCs w:val="21"/>
                <w:color w:val="auto"/>
              </w:rPr>
            </w:pPr>
          </w:p>
        </w:tc>
        <w:tc>
          <w:tcPr>
            <w:tcW w:w="84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0C0C0"/>
          </w:tcPr>
          <w:p>
            <w:pPr>
              <w:spacing w:after="0"/>
              <w:rPr>
                <w:sz w:val="21"/>
                <w:szCs w:val="21"/>
                <w:color w:val="auto"/>
              </w:rPr>
            </w:pPr>
          </w:p>
        </w:tc>
        <w:tc>
          <w:tcPr>
            <w:tcW w:w="6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5,746</w:t>
            </w:r>
          </w:p>
        </w:tc>
      </w:tr>
      <w:tr>
        <w:trPr>
          <w:trHeight w:val="237"/>
        </w:trPr>
        <w:tc>
          <w:tcPr>
            <w:tcW w:w="73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8"/>
              </w:rPr>
              <w:t>422,127</w:t>
            </w:r>
          </w:p>
        </w:tc>
        <w:tc>
          <w:tcPr>
            <w:tcW w:w="2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11,256</w:t>
            </w:r>
          </w:p>
        </w:tc>
        <w:tc>
          <w:tcPr>
            <w:tcW w:w="2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1,404</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431,979</w:t>
            </w:r>
          </w:p>
        </w:tc>
      </w:tr>
      <w:tr>
        <w:trPr>
          <w:trHeight w:val="480"/>
        </w:trPr>
        <w:tc>
          <w:tcPr>
            <w:tcW w:w="73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3"/>
          </w:tcPr>
          <w:p>
            <w:pPr>
              <w:jc w:val="right"/>
              <w:ind w:right="272"/>
              <w:spacing w:after="0"/>
              <w:rPr>
                <w:sz w:val="20"/>
                <w:szCs w:val="20"/>
                <w:color w:val="auto"/>
              </w:rPr>
            </w:pPr>
            <w:r>
              <w:rPr>
                <w:rFonts w:ascii="Arial" w:cs="Arial" w:eastAsia="Arial" w:hAnsi="Arial"/>
                <w:sz w:val="18"/>
                <w:szCs w:val="18"/>
                <w:b w:val="1"/>
                <w:bCs w:val="1"/>
                <w:color w:val="auto"/>
                <w:w w:val="93"/>
              </w:rPr>
              <w:t>December 31, 2016</w:t>
            </w:r>
          </w:p>
        </w:tc>
        <w:tc>
          <w:tcPr>
            <w:tcW w:w="3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r>
      <w:tr>
        <w:trPr>
          <w:trHeight w:val="228"/>
        </w:trPr>
        <w:tc>
          <w:tcPr>
            <w:tcW w:w="7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ind w:right="252"/>
              <w:spacing w:after="0"/>
              <w:rPr>
                <w:sz w:val="20"/>
                <w:szCs w:val="20"/>
                <w:color w:val="auto"/>
              </w:rPr>
            </w:pPr>
            <w:r>
              <w:rPr>
                <w:rFonts w:ascii="Arial" w:cs="Arial" w:eastAsia="Arial" w:hAnsi="Arial"/>
                <w:sz w:val="18"/>
                <w:szCs w:val="18"/>
                <w:b w:val="1"/>
                <w:bCs w:val="1"/>
                <w:color w:val="auto"/>
                <w:w w:val="88"/>
              </w:rPr>
              <w:t>Gross</w:t>
            </w:r>
          </w:p>
        </w:tc>
        <w:tc>
          <w:tcPr>
            <w:tcW w:w="240" w:type="dxa"/>
            <w:vAlign w:val="bottom"/>
          </w:tcPr>
          <w:p>
            <w:pPr>
              <w:spacing w:after="0"/>
              <w:rPr>
                <w:sz w:val="19"/>
                <w:szCs w:val="19"/>
                <w:color w:val="auto"/>
              </w:rPr>
            </w:pPr>
          </w:p>
        </w:tc>
        <w:tc>
          <w:tcPr>
            <w:tcW w:w="840" w:type="dxa"/>
            <w:vAlign w:val="bottom"/>
          </w:tcPr>
          <w:p>
            <w:pPr>
              <w:jc w:val="center"/>
              <w:ind w:right="192"/>
              <w:spacing w:after="0"/>
              <w:rPr>
                <w:sz w:val="20"/>
                <w:szCs w:val="20"/>
                <w:color w:val="auto"/>
              </w:rPr>
            </w:pPr>
            <w:r>
              <w:rPr>
                <w:rFonts w:ascii="Arial" w:cs="Arial" w:eastAsia="Arial" w:hAnsi="Arial"/>
                <w:sz w:val="18"/>
                <w:szCs w:val="18"/>
                <w:b w:val="1"/>
                <w:bCs w:val="1"/>
                <w:color w:val="auto"/>
                <w:w w:val="84"/>
              </w:rPr>
              <w:t>Gross</w:t>
            </w: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42"/>
        </w:trPr>
        <w:tc>
          <w:tcPr>
            <w:tcW w:w="7340" w:type="dxa"/>
            <w:vAlign w:val="bottom"/>
          </w:tcPr>
          <w:p>
            <w:pPr>
              <w:spacing w:after="0"/>
              <w:rPr>
                <w:sz w:val="21"/>
                <w:szCs w:val="21"/>
                <w:color w:val="auto"/>
              </w:rPr>
            </w:pPr>
          </w:p>
        </w:tc>
        <w:tc>
          <w:tcPr>
            <w:tcW w:w="940" w:type="dxa"/>
            <w:vAlign w:val="bottom"/>
            <w:gridSpan w:val="2"/>
          </w:tcPr>
          <w:p>
            <w:pPr>
              <w:spacing w:after="0"/>
              <w:rPr>
                <w:sz w:val="20"/>
                <w:szCs w:val="20"/>
                <w:color w:val="auto"/>
              </w:rPr>
            </w:pPr>
            <w:r>
              <w:rPr>
                <w:rFonts w:ascii="Arial" w:cs="Arial" w:eastAsia="Arial" w:hAnsi="Arial"/>
                <w:sz w:val="18"/>
                <w:szCs w:val="18"/>
                <w:b w:val="1"/>
                <w:bCs w:val="1"/>
                <w:color w:val="auto"/>
              </w:rPr>
              <w:t>Amortized</w:t>
            </w:r>
          </w:p>
        </w:tc>
        <w:tc>
          <w:tcPr>
            <w:tcW w:w="1100" w:type="dxa"/>
            <w:vAlign w:val="bottom"/>
            <w:gridSpan w:val="2"/>
          </w:tcPr>
          <w:p>
            <w:pPr>
              <w:ind w:left="140"/>
              <w:spacing w:after="0"/>
              <w:rPr>
                <w:sz w:val="20"/>
                <w:szCs w:val="20"/>
                <w:color w:val="auto"/>
              </w:rPr>
            </w:pPr>
            <w:r>
              <w:rPr>
                <w:rFonts w:ascii="Arial" w:cs="Arial" w:eastAsia="Arial" w:hAnsi="Arial"/>
                <w:sz w:val="18"/>
                <w:szCs w:val="18"/>
                <w:b w:val="1"/>
                <w:bCs w:val="1"/>
                <w:color w:val="auto"/>
              </w:rPr>
              <w:t>Unrealized</w:t>
            </w:r>
          </w:p>
        </w:tc>
        <w:tc>
          <w:tcPr>
            <w:tcW w:w="1080" w:type="dxa"/>
            <w:vAlign w:val="bottom"/>
            <w:gridSpan w:val="2"/>
          </w:tcPr>
          <w:p>
            <w:pPr>
              <w:ind w:left="120"/>
              <w:spacing w:after="0"/>
              <w:rPr>
                <w:sz w:val="20"/>
                <w:szCs w:val="20"/>
                <w:color w:val="auto"/>
              </w:rPr>
            </w:pPr>
            <w:r>
              <w:rPr>
                <w:rFonts w:ascii="Arial" w:cs="Arial" w:eastAsia="Arial" w:hAnsi="Arial"/>
                <w:sz w:val="18"/>
                <w:szCs w:val="18"/>
                <w:b w:val="1"/>
                <w:bCs w:val="1"/>
                <w:color w:val="auto"/>
              </w:rPr>
              <w:t>Unrealized</w:t>
            </w: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52"/>
        </w:trPr>
        <w:tc>
          <w:tcPr>
            <w:tcW w:w="7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w w:val="99"/>
              </w:rPr>
              <w:t>Cost</w:t>
            </w:r>
          </w:p>
        </w:tc>
        <w:tc>
          <w:tcPr>
            <w:tcW w:w="2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w w:val="91"/>
              </w:rPr>
              <w:t>Gains</w:t>
            </w: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center"/>
              <w:ind w:right="172"/>
              <w:spacing w:after="0"/>
              <w:rPr>
                <w:sz w:val="20"/>
                <w:szCs w:val="20"/>
                <w:color w:val="auto"/>
              </w:rPr>
            </w:pPr>
            <w:r>
              <w:rPr>
                <w:rFonts w:ascii="Arial" w:cs="Arial" w:eastAsia="Arial" w:hAnsi="Arial"/>
                <w:sz w:val="18"/>
                <w:szCs w:val="18"/>
                <w:b w:val="1"/>
                <w:bCs w:val="1"/>
                <w:color w:val="auto"/>
                <w:w w:val="80"/>
              </w:rPr>
              <w:t>Losses</w:t>
            </w: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Fair Value</w:t>
            </w:r>
          </w:p>
        </w:tc>
      </w:tr>
      <w:tr>
        <w:trPr>
          <w:trHeight w:val="243"/>
        </w:trPr>
        <w:tc>
          <w:tcPr>
            <w:tcW w:w="7340" w:type="dxa"/>
            <w:vAlign w:val="bottom"/>
            <w:shd w:val="clear" w:color="auto" w:fill="C0C0C0"/>
          </w:tcPr>
          <w:p>
            <w:pPr>
              <w:spacing w:after="0"/>
              <w:rPr>
                <w:sz w:val="20"/>
                <w:szCs w:val="20"/>
                <w:color w:val="auto"/>
              </w:rPr>
            </w:pPr>
            <w:r>
              <w:rPr>
                <w:rFonts w:ascii="Arial" w:cs="Arial" w:eastAsia="Arial" w:hAnsi="Arial"/>
                <w:sz w:val="18"/>
                <w:szCs w:val="18"/>
                <w:color w:val="auto"/>
              </w:rPr>
              <w:t>State and political subdivisions</w:t>
            </w:r>
          </w:p>
        </w:tc>
        <w:tc>
          <w:tcPr>
            <w:tcW w:w="16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w w:val="98"/>
              </w:rPr>
              <w:t>368,223</w:t>
            </w:r>
          </w:p>
        </w:tc>
        <w:tc>
          <w:tcPr>
            <w:tcW w:w="280" w:type="dxa"/>
            <w:vAlign w:val="bottom"/>
            <w:shd w:val="clear" w:color="auto" w:fill="C0C0C0"/>
          </w:tcPr>
          <w:p>
            <w:pPr>
              <w:ind w:lef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5,239</w:t>
            </w:r>
          </w:p>
        </w:tc>
        <w:tc>
          <w:tcPr>
            <w:tcW w:w="240" w:type="dxa"/>
            <w:vAlign w:val="bottom"/>
            <w:shd w:val="clear" w:color="auto" w:fill="C0C0C0"/>
          </w:tcPr>
          <w:p>
            <w:pPr>
              <w:ind w:left="12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3,328</w:t>
            </w:r>
          </w:p>
        </w:tc>
        <w:tc>
          <w:tcPr>
            <w:tcW w:w="3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8"/>
              </w:rPr>
              <w:t>370,134</w:t>
            </w:r>
          </w:p>
        </w:tc>
      </w:tr>
      <w:tr>
        <w:trPr>
          <w:trHeight w:val="235"/>
        </w:trPr>
        <w:tc>
          <w:tcPr>
            <w:tcW w:w="7340" w:type="dxa"/>
            <w:vAlign w:val="bottom"/>
          </w:tcPr>
          <w:p>
            <w:pPr>
              <w:spacing w:after="0"/>
              <w:rPr>
                <w:sz w:val="20"/>
                <w:szCs w:val="20"/>
                <w:color w:val="auto"/>
              </w:rPr>
            </w:pPr>
            <w:r>
              <w:rPr>
                <w:rFonts w:ascii="Arial" w:cs="Arial" w:eastAsia="Arial" w:hAnsi="Arial"/>
                <w:sz w:val="18"/>
                <w:szCs w:val="18"/>
                <w:color w:val="auto"/>
              </w:rPr>
              <w:t>U.S. government agencies</w:t>
            </w:r>
          </w:p>
        </w:tc>
        <w:tc>
          <w:tcPr>
            <w:tcW w:w="160" w:type="dxa"/>
            <w:vAlign w:val="bottom"/>
          </w:tcPr>
          <w:p>
            <w:pPr>
              <w:spacing w:after="0"/>
              <w:rPr>
                <w:sz w:val="20"/>
                <w:szCs w:val="20"/>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13,075</w:t>
            </w:r>
          </w:p>
        </w:tc>
        <w:tc>
          <w:tcPr>
            <w:tcW w:w="280" w:type="dxa"/>
            <w:vAlign w:val="bottom"/>
          </w:tcPr>
          <w:p>
            <w:pPr>
              <w:spacing w:after="0"/>
              <w:rPr>
                <w:sz w:val="20"/>
                <w:szCs w:val="20"/>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403</w:t>
            </w:r>
          </w:p>
        </w:tc>
        <w:tc>
          <w:tcPr>
            <w:tcW w:w="3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12,672</w:t>
            </w:r>
          </w:p>
        </w:tc>
      </w:tr>
      <w:tr>
        <w:trPr>
          <w:trHeight w:val="244"/>
        </w:trPr>
        <w:tc>
          <w:tcPr>
            <w:tcW w:w="734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Certificates of deposit</w:t>
            </w:r>
          </w:p>
        </w:tc>
        <w:tc>
          <w:tcPr>
            <w:tcW w:w="160" w:type="dxa"/>
            <w:vAlign w:val="bottom"/>
            <w:tcBorders>
              <w:bottom w:val="single" w:sz="8" w:color="auto"/>
            </w:tcBorders>
            <w:shd w:val="clear" w:color="auto" w:fill="C0C0C0"/>
          </w:tcPr>
          <w:p>
            <w:pPr>
              <w:spacing w:after="0"/>
              <w:rPr>
                <w:sz w:val="21"/>
                <w:szCs w:val="21"/>
                <w:color w:val="auto"/>
              </w:rPr>
            </w:pPr>
          </w:p>
        </w:tc>
        <w:tc>
          <w:tcPr>
            <w:tcW w:w="78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7,746</w:t>
            </w:r>
          </w:p>
        </w:tc>
        <w:tc>
          <w:tcPr>
            <w:tcW w:w="280" w:type="dxa"/>
            <w:vAlign w:val="bottom"/>
            <w:tcBorders>
              <w:bottom w:val="single" w:sz="8" w:color="auto"/>
            </w:tcBorders>
            <w:shd w:val="clear" w:color="auto" w:fill="C0C0C0"/>
          </w:tcPr>
          <w:p>
            <w:pPr>
              <w:spacing w:after="0"/>
              <w:rPr>
                <w:sz w:val="21"/>
                <w:szCs w:val="21"/>
                <w:color w:val="auto"/>
              </w:rPr>
            </w:pPr>
          </w:p>
        </w:tc>
        <w:tc>
          <w:tcPr>
            <w:tcW w:w="82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0C0C0"/>
          </w:tcPr>
          <w:p>
            <w:pPr>
              <w:spacing w:after="0"/>
              <w:rPr>
                <w:sz w:val="21"/>
                <w:szCs w:val="21"/>
                <w:color w:val="auto"/>
              </w:rPr>
            </w:pPr>
          </w:p>
        </w:tc>
        <w:tc>
          <w:tcPr>
            <w:tcW w:w="84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0C0C0"/>
          </w:tcPr>
          <w:p>
            <w:pPr>
              <w:spacing w:after="0"/>
              <w:rPr>
                <w:sz w:val="21"/>
                <w:szCs w:val="21"/>
                <w:color w:val="auto"/>
              </w:rPr>
            </w:pPr>
          </w:p>
        </w:tc>
        <w:tc>
          <w:tcPr>
            <w:tcW w:w="6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7,746</w:t>
            </w:r>
          </w:p>
        </w:tc>
      </w:tr>
      <w:tr>
        <w:trPr>
          <w:trHeight w:val="237"/>
        </w:trPr>
        <w:tc>
          <w:tcPr>
            <w:tcW w:w="73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8"/>
              </w:rPr>
              <w:t>389,044</w:t>
            </w:r>
          </w:p>
        </w:tc>
        <w:tc>
          <w:tcPr>
            <w:tcW w:w="2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5,239</w:t>
            </w:r>
          </w:p>
        </w:tc>
        <w:tc>
          <w:tcPr>
            <w:tcW w:w="2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3,731</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390,552</w:t>
            </w:r>
          </w:p>
        </w:tc>
      </w:tr>
    </w:tbl>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620" w:type="dxa"/>
            <w:vAlign w:val="bottom"/>
          </w:tcPr>
          <w:p>
            <w:pPr>
              <w:spacing w:after="0"/>
              <w:rPr>
                <w:sz w:val="20"/>
                <w:szCs w:val="20"/>
                <w:color w:val="auto"/>
              </w:rPr>
            </w:pPr>
            <w:r>
              <w:rPr>
                <w:rFonts w:ascii="Arial" w:cs="Arial" w:eastAsia="Arial" w:hAnsi="Arial"/>
                <w:sz w:val="18"/>
                <w:szCs w:val="18"/>
                <w:color w:val="auto"/>
                <w:w w:val="88"/>
              </w:rPr>
              <w:t>The fair values of securities with unrealized losses are as follows:</w:t>
            </w: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68"/>
        </w:trPr>
        <w:tc>
          <w:tcPr>
            <w:tcW w:w="46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June 30, 2017</w:t>
            </w:r>
          </w:p>
        </w:tc>
        <w:tc>
          <w:tcPr>
            <w:tcW w:w="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37"/>
        </w:trPr>
        <w:tc>
          <w:tcPr>
            <w:tcW w:w="46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right"/>
              <w:ind w:right="312"/>
              <w:spacing w:after="0"/>
              <w:rPr>
                <w:sz w:val="20"/>
                <w:szCs w:val="20"/>
                <w:color w:val="auto"/>
              </w:rPr>
            </w:pPr>
            <w:r>
              <w:rPr>
                <w:rFonts w:ascii="Arial" w:cs="Arial" w:eastAsia="Arial" w:hAnsi="Arial"/>
                <w:sz w:val="18"/>
                <w:szCs w:val="18"/>
                <w:b w:val="1"/>
                <w:bCs w:val="1"/>
                <w:color w:val="auto"/>
                <w:w w:val="90"/>
              </w:rPr>
              <w:t>Less than 12 months</w:t>
            </w:r>
          </w:p>
        </w:tc>
        <w:tc>
          <w:tcPr>
            <w:tcW w:w="3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w w:val="95"/>
              </w:rPr>
              <w:t>12 months or more</w:t>
            </w:r>
          </w:p>
        </w:tc>
        <w:tc>
          <w:tcPr>
            <w:tcW w:w="3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Total</w:t>
            </w:r>
          </w:p>
        </w:tc>
        <w:tc>
          <w:tcPr>
            <w:tcW w:w="7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8"/>
        </w:trPr>
        <w:tc>
          <w:tcPr>
            <w:tcW w:w="4620" w:type="dxa"/>
            <w:vAlign w:val="bottom"/>
          </w:tcPr>
          <w:p>
            <w:pPr>
              <w:spacing w:after="0"/>
              <w:rPr>
                <w:sz w:val="19"/>
                <w:szCs w:val="19"/>
                <w:color w:val="auto"/>
              </w:rPr>
            </w:pPr>
          </w:p>
        </w:tc>
        <w:tc>
          <w:tcPr>
            <w:tcW w:w="1040" w:type="dxa"/>
            <w:vAlign w:val="bottom"/>
            <w:gridSpan w:val="2"/>
          </w:tcPr>
          <w:p>
            <w:pPr>
              <w:ind w:left="80"/>
              <w:spacing w:after="0"/>
              <w:rPr>
                <w:sz w:val="20"/>
                <w:szCs w:val="20"/>
                <w:color w:val="auto"/>
              </w:rPr>
            </w:pPr>
            <w:r>
              <w:rPr>
                <w:rFonts w:ascii="Arial" w:cs="Arial" w:eastAsia="Arial" w:hAnsi="Arial"/>
                <w:sz w:val="18"/>
                <w:szCs w:val="18"/>
                <w:b w:val="1"/>
                <w:bCs w:val="1"/>
                <w:color w:val="auto"/>
              </w:rPr>
              <w:t>Estimated</w:t>
            </w:r>
          </w:p>
        </w:tc>
        <w:tc>
          <w:tcPr>
            <w:tcW w:w="11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Unrealized</w:t>
            </w:r>
          </w:p>
        </w:tc>
        <w:tc>
          <w:tcPr>
            <w:tcW w:w="1180" w:type="dxa"/>
            <w:vAlign w:val="bottom"/>
            <w:gridSpan w:val="2"/>
          </w:tcPr>
          <w:p>
            <w:pPr>
              <w:ind w:left="200"/>
              <w:spacing w:after="0"/>
              <w:rPr>
                <w:sz w:val="20"/>
                <w:szCs w:val="20"/>
                <w:color w:val="auto"/>
              </w:rPr>
            </w:pPr>
            <w:r>
              <w:rPr>
                <w:rFonts w:ascii="Arial" w:cs="Arial" w:eastAsia="Arial" w:hAnsi="Arial"/>
                <w:sz w:val="18"/>
                <w:szCs w:val="18"/>
                <w:b w:val="1"/>
                <w:bCs w:val="1"/>
                <w:color w:val="auto"/>
              </w:rPr>
              <w:t>Estimated</w:t>
            </w:r>
          </w:p>
        </w:tc>
        <w:tc>
          <w:tcPr>
            <w:tcW w:w="11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Unrealized</w:t>
            </w:r>
          </w:p>
        </w:tc>
        <w:tc>
          <w:tcPr>
            <w:tcW w:w="1160" w:type="dxa"/>
            <w:vAlign w:val="bottom"/>
            <w:gridSpan w:val="2"/>
          </w:tcPr>
          <w:p>
            <w:pPr>
              <w:ind w:left="200"/>
              <w:spacing w:after="0"/>
              <w:rPr>
                <w:sz w:val="20"/>
                <w:szCs w:val="20"/>
                <w:color w:val="auto"/>
              </w:rPr>
            </w:pPr>
            <w:r>
              <w:rPr>
                <w:rFonts w:ascii="Arial" w:cs="Arial" w:eastAsia="Arial" w:hAnsi="Arial"/>
                <w:sz w:val="18"/>
                <w:szCs w:val="18"/>
                <w:b w:val="1"/>
                <w:bCs w:val="1"/>
                <w:color w:val="auto"/>
              </w:rPr>
              <w:t>Estimated</w:t>
            </w:r>
          </w:p>
        </w:tc>
        <w:tc>
          <w:tcPr>
            <w:tcW w:w="1060" w:type="dxa"/>
            <w:vAlign w:val="bottom"/>
            <w:gridSpan w:val="2"/>
          </w:tcPr>
          <w:p>
            <w:pPr>
              <w:jc w:val="center"/>
              <w:ind w:left="52"/>
              <w:spacing w:after="0"/>
              <w:rPr>
                <w:sz w:val="20"/>
                <w:szCs w:val="20"/>
                <w:color w:val="auto"/>
              </w:rPr>
            </w:pPr>
            <w:r>
              <w:rPr>
                <w:rFonts w:ascii="Arial" w:cs="Arial" w:eastAsia="Arial" w:hAnsi="Arial"/>
                <w:sz w:val="18"/>
                <w:szCs w:val="18"/>
                <w:b w:val="1"/>
                <w:bCs w:val="1"/>
                <w:color w:val="auto"/>
                <w:w w:val="87"/>
              </w:rPr>
              <w:t>Unrealized</w:t>
            </w:r>
          </w:p>
        </w:tc>
        <w:tc>
          <w:tcPr>
            <w:tcW w:w="20" w:type="dxa"/>
            <w:vAlign w:val="bottom"/>
          </w:tcPr>
          <w:p>
            <w:pPr>
              <w:spacing w:after="0"/>
              <w:rPr>
                <w:sz w:val="19"/>
                <w:szCs w:val="19"/>
                <w:color w:val="auto"/>
              </w:rPr>
            </w:pPr>
          </w:p>
        </w:tc>
      </w:tr>
      <w:tr>
        <w:trPr>
          <w:trHeight w:val="251"/>
        </w:trPr>
        <w:tc>
          <w:tcPr>
            <w:tcW w:w="4620" w:type="dxa"/>
            <w:vAlign w:val="bottom"/>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04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c>
          <w:tcPr>
            <w:tcW w:w="280" w:type="dxa"/>
            <w:vAlign w:val="bottom"/>
          </w:tcPr>
          <w:p>
            <w:pPr>
              <w:spacing w:after="0"/>
              <w:rPr>
                <w:sz w:val="21"/>
                <w:szCs w:val="21"/>
                <w:color w:val="auto"/>
              </w:rPr>
            </w:pPr>
          </w:p>
        </w:tc>
        <w:tc>
          <w:tcPr>
            <w:tcW w:w="900" w:type="dxa"/>
            <w:vAlign w:val="bottom"/>
          </w:tcPr>
          <w:p>
            <w:pPr>
              <w:jc w:val="center"/>
              <w:ind w:right="192"/>
              <w:spacing w:after="0"/>
              <w:rPr>
                <w:sz w:val="20"/>
                <w:szCs w:val="20"/>
                <w:color w:val="auto"/>
              </w:rPr>
            </w:pPr>
            <w:r>
              <w:rPr>
                <w:rFonts w:ascii="Arial" w:cs="Arial" w:eastAsia="Arial" w:hAnsi="Arial"/>
                <w:sz w:val="18"/>
                <w:szCs w:val="18"/>
                <w:b w:val="1"/>
                <w:bCs w:val="1"/>
                <w:color w:val="auto"/>
                <w:w w:val="80"/>
              </w:rPr>
              <w:t>Losses</w:t>
            </w:r>
          </w:p>
        </w:tc>
        <w:tc>
          <w:tcPr>
            <w:tcW w:w="1180" w:type="dxa"/>
            <w:vAlign w:val="bottom"/>
            <w:gridSpan w:val="2"/>
          </w:tcPr>
          <w:p>
            <w:pPr>
              <w:ind w:left="140"/>
              <w:spacing w:after="0"/>
              <w:rPr>
                <w:sz w:val="20"/>
                <w:szCs w:val="20"/>
                <w:color w:val="auto"/>
              </w:rPr>
            </w:pPr>
            <w:r>
              <w:rPr>
                <w:rFonts w:ascii="Arial" w:cs="Arial" w:eastAsia="Arial" w:hAnsi="Arial"/>
                <w:sz w:val="18"/>
                <w:szCs w:val="18"/>
                <w:b w:val="1"/>
                <w:bCs w:val="1"/>
                <w:color w:val="auto"/>
              </w:rPr>
              <w:t>Fair Value</w:t>
            </w:r>
          </w:p>
        </w:tc>
        <w:tc>
          <w:tcPr>
            <w:tcW w:w="860" w:type="dxa"/>
            <w:vAlign w:val="bottom"/>
          </w:tcPr>
          <w:p>
            <w:pPr>
              <w:jc w:val="center"/>
              <w:ind w:left="232"/>
              <w:spacing w:after="0"/>
              <w:rPr>
                <w:sz w:val="20"/>
                <w:szCs w:val="20"/>
                <w:color w:val="auto"/>
              </w:rPr>
            </w:pPr>
            <w:r>
              <w:rPr>
                <w:rFonts w:ascii="Arial" w:cs="Arial" w:eastAsia="Arial" w:hAnsi="Arial"/>
                <w:sz w:val="18"/>
                <w:szCs w:val="18"/>
                <w:b w:val="1"/>
                <w:bCs w:val="1"/>
                <w:color w:val="auto"/>
                <w:w w:val="80"/>
              </w:rPr>
              <w:t>Losses</w:t>
            </w:r>
          </w:p>
        </w:tc>
        <w:tc>
          <w:tcPr>
            <w:tcW w:w="320" w:type="dxa"/>
            <w:vAlign w:val="bottom"/>
          </w:tcPr>
          <w:p>
            <w:pPr>
              <w:spacing w:after="0"/>
              <w:rPr>
                <w:sz w:val="21"/>
                <w:szCs w:val="21"/>
                <w:color w:val="auto"/>
              </w:rPr>
            </w:pPr>
          </w:p>
        </w:tc>
        <w:tc>
          <w:tcPr>
            <w:tcW w:w="1160" w:type="dxa"/>
            <w:vAlign w:val="bottom"/>
            <w:gridSpan w:val="2"/>
          </w:tcPr>
          <w:p>
            <w:pPr>
              <w:ind w:left="200"/>
              <w:spacing w:after="0"/>
              <w:rPr>
                <w:sz w:val="20"/>
                <w:szCs w:val="20"/>
                <w:color w:val="auto"/>
              </w:rPr>
            </w:pPr>
            <w:r>
              <w:rPr>
                <w:rFonts w:ascii="Arial" w:cs="Arial" w:eastAsia="Arial" w:hAnsi="Arial"/>
                <w:sz w:val="18"/>
                <w:szCs w:val="18"/>
                <w:b w:val="1"/>
                <w:bCs w:val="1"/>
                <w:color w:val="auto"/>
              </w:rPr>
              <w:t>Fair Value</w:t>
            </w:r>
          </w:p>
        </w:tc>
        <w:tc>
          <w:tcPr>
            <w:tcW w:w="300" w:type="dxa"/>
            <w:vAlign w:val="bottom"/>
          </w:tcPr>
          <w:p>
            <w:pPr>
              <w:spacing w:after="0"/>
              <w:rPr>
                <w:sz w:val="21"/>
                <w:szCs w:val="21"/>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77"/>
              </w:rPr>
              <w:t>Losses</w:t>
            </w:r>
          </w:p>
        </w:tc>
      </w:tr>
      <w:tr>
        <w:trPr>
          <w:trHeight w:val="243"/>
        </w:trPr>
        <w:tc>
          <w:tcPr>
            <w:tcW w:w="462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8"/>
                <w:szCs w:val="18"/>
                <w:color w:val="auto"/>
              </w:rPr>
              <w:t>State and political subdivisions</w:t>
            </w:r>
          </w:p>
        </w:tc>
        <w:tc>
          <w:tcPr>
            <w:tcW w:w="18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45,082</w:t>
            </w:r>
          </w:p>
        </w:tc>
        <w:tc>
          <w:tcPr>
            <w:tcW w:w="28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1,076</w:t>
            </w:r>
          </w:p>
        </w:tc>
        <w:tc>
          <w:tcPr>
            <w:tcW w:w="340" w:type="dxa"/>
            <w:vAlign w:val="bottom"/>
            <w:tcBorders>
              <w:top w:val="single" w:sz="8" w:color="auto"/>
            </w:tcBorders>
            <w:shd w:val="clear" w:color="auto" w:fill="C0C0C0"/>
          </w:tcPr>
          <w:p>
            <w:pPr>
              <w:ind w:left="14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0C0C0"/>
          </w:tcPr>
          <w:p>
            <w:pPr>
              <w:ind w:left="5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0C0C0"/>
          </w:tcPr>
          <w:p>
            <w:pPr>
              <w:jc w:val="right"/>
              <w:ind w:right="552"/>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C0C0C0"/>
          </w:tcPr>
          <w:p>
            <w:pPr>
              <w:ind w:left="2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45,082</w:t>
            </w:r>
          </w:p>
        </w:tc>
        <w:tc>
          <w:tcPr>
            <w:tcW w:w="30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1,076</w:t>
            </w:r>
          </w:p>
        </w:tc>
        <w:tc>
          <w:tcPr>
            <w:tcW w:w="20" w:type="dxa"/>
            <w:vAlign w:val="bottom"/>
          </w:tcPr>
          <w:p>
            <w:pPr>
              <w:spacing w:after="0"/>
              <w:rPr>
                <w:sz w:val="21"/>
                <w:szCs w:val="21"/>
                <w:color w:val="auto"/>
              </w:rPr>
            </w:pPr>
          </w:p>
        </w:tc>
      </w:tr>
      <w:tr>
        <w:trPr>
          <w:trHeight w:val="235"/>
        </w:trPr>
        <w:tc>
          <w:tcPr>
            <w:tcW w:w="4620" w:type="dxa"/>
            <w:vAlign w:val="bottom"/>
          </w:tcPr>
          <w:p>
            <w:pPr>
              <w:spacing w:after="0"/>
              <w:rPr>
                <w:sz w:val="20"/>
                <w:szCs w:val="20"/>
                <w:color w:val="auto"/>
              </w:rPr>
            </w:pPr>
            <w:r>
              <w:rPr>
                <w:rFonts w:ascii="Arial" w:cs="Arial" w:eastAsia="Arial" w:hAnsi="Arial"/>
                <w:sz w:val="18"/>
                <w:szCs w:val="18"/>
                <w:color w:val="auto"/>
              </w:rPr>
              <w:t>U.S. government agencies</w:t>
            </w:r>
          </w:p>
        </w:tc>
        <w:tc>
          <w:tcPr>
            <w:tcW w:w="180" w:type="dxa"/>
            <w:vAlign w:val="bottom"/>
          </w:tcPr>
          <w:p>
            <w:pPr>
              <w:spacing w:after="0"/>
              <w:rPr>
                <w:sz w:val="20"/>
                <w:szCs w:val="20"/>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12,118</w:t>
            </w:r>
          </w:p>
        </w:tc>
        <w:tc>
          <w:tcPr>
            <w:tcW w:w="280" w:type="dxa"/>
            <w:vAlign w:val="bottom"/>
          </w:tcPr>
          <w:p>
            <w:pPr>
              <w:spacing w:after="0"/>
              <w:rPr>
                <w:sz w:val="20"/>
                <w:szCs w:val="20"/>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328</w:t>
            </w:r>
          </w:p>
        </w:tc>
        <w:tc>
          <w:tcPr>
            <w:tcW w:w="340" w:type="dxa"/>
            <w:vAlign w:val="bottom"/>
          </w:tcPr>
          <w:p>
            <w:pPr>
              <w:spacing w:after="0"/>
              <w:rPr>
                <w:sz w:val="20"/>
                <w:szCs w:val="20"/>
                <w:color w:val="auto"/>
              </w:rPr>
            </w:pPr>
          </w:p>
        </w:tc>
        <w:tc>
          <w:tcPr>
            <w:tcW w:w="840" w:type="dxa"/>
            <w:vAlign w:val="bottom"/>
          </w:tcPr>
          <w:p>
            <w:pPr>
              <w:ind w:left="52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0"/>
                <w:szCs w:val="20"/>
                <w:color w:val="auto"/>
              </w:rPr>
            </w:pP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12,118</w:t>
            </w:r>
          </w:p>
        </w:tc>
        <w:tc>
          <w:tcPr>
            <w:tcW w:w="30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328</w:t>
            </w:r>
          </w:p>
        </w:tc>
      </w:tr>
      <w:tr>
        <w:trPr>
          <w:trHeight w:val="244"/>
        </w:trPr>
        <w:tc>
          <w:tcPr>
            <w:tcW w:w="462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Certificates of deposit</w:t>
            </w:r>
          </w:p>
        </w:tc>
        <w:tc>
          <w:tcPr>
            <w:tcW w:w="180" w:type="dxa"/>
            <w:vAlign w:val="bottom"/>
            <w:tcBorders>
              <w:bottom w:val="single" w:sz="8" w:color="auto"/>
            </w:tcBorders>
            <w:shd w:val="clear" w:color="auto" w:fill="C0C0C0"/>
          </w:tcPr>
          <w:p>
            <w:pPr>
              <w:spacing w:after="0"/>
              <w:rPr>
                <w:sz w:val="21"/>
                <w:szCs w:val="21"/>
                <w:color w:val="auto"/>
              </w:rPr>
            </w:pPr>
          </w:p>
        </w:tc>
        <w:tc>
          <w:tcPr>
            <w:tcW w:w="86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0C0C0"/>
          </w:tcPr>
          <w:p>
            <w:pPr>
              <w:spacing w:after="0"/>
              <w:rPr>
                <w:sz w:val="21"/>
                <w:szCs w:val="21"/>
                <w:color w:val="auto"/>
              </w:rPr>
            </w:pPr>
          </w:p>
        </w:tc>
        <w:tc>
          <w:tcPr>
            <w:tcW w:w="90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0C0C0"/>
          </w:tcPr>
          <w:p>
            <w:pPr>
              <w:spacing w:after="0"/>
              <w:rPr>
                <w:sz w:val="21"/>
                <w:szCs w:val="21"/>
                <w:color w:val="auto"/>
              </w:rPr>
            </w:pPr>
          </w:p>
        </w:tc>
        <w:tc>
          <w:tcPr>
            <w:tcW w:w="840" w:type="dxa"/>
            <w:vAlign w:val="bottom"/>
            <w:tcBorders>
              <w:bottom w:val="single" w:sz="8" w:color="auto"/>
            </w:tcBorders>
            <w:shd w:val="clear" w:color="auto" w:fill="C0C0C0"/>
          </w:tcPr>
          <w:p>
            <w:pPr>
              <w:ind w:left="5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0C0C0"/>
          </w:tcPr>
          <w:p>
            <w:pPr>
              <w:spacing w:after="0"/>
              <w:rPr>
                <w:sz w:val="21"/>
                <w:szCs w:val="21"/>
                <w:color w:val="auto"/>
              </w:rPr>
            </w:pPr>
          </w:p>
        </w:tc>
        <w:tc>
          <w:tcPr>
            <w:tcW w:w="320" w:type="dxa"/>
            <w:vAlign w:val="bottom"/>
            <w:tcBorders>
              <w:bottom w:val="single" w:sz="8" w:color="auto"/>
            </w:tcBorders>
            <w:shd w:val="clear" w:color="auto" w:fill="C0C0C0"/>
          </w:tcPr>
          <w:p>
            <w:pPr>
              <w:ind w:left="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0C0C0"/>
          </w:tcPr>
          <w:p>
            <w:pPr>
              <w:spacing w:after="0"/>
              <w:rPr>
                <w:sz w:val="21"/>
                <w:szCs w:val="21"/>
                <w:color w:val="auto"/>
              </w:rPr>
            </w:pPr>
          </w:p>
        </w:tc>
        <w:tc>
          <w:tcPr>
            <w:tcW w:w="82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0C0C0"/>
          </w:tcPr>
          <w:p>
            <w:pPr>
              <w:spacing w:after="0"/>
              <w:rPr>
                <w:sz w:val="21"/>
                <w:szCs w:val="21"/>
                <w:color w:val="auto"/>
              </w:rPr>
            </w:pPr>
          </w:p>
        </w:tc>
        <w:tc>
          <w:tcPr>
            <w:tcW w:w="7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37"/>
        </w:trPr>
        <w:tc>
          <w:tcPr>
            <w:tcW w:w="4620" w:type="dxa"/>
            <w:vAlign w:val="bottom"/>
          </w:tcPr>
          <w:p>
            <w:pPr>
              <w:ind w:left="280"/>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57,200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1,404</w:t>
            </w:r>
          </w:p>
        </w:tc>
        <w:tc>
          <w:tcPr>
            <w:tcW w:w="340" w:type="dxa"/>
            <w:vAlign w:val="bottom"/>
          </w:tcPr>
          <w:p>
            <w:pPr>
              <w:ind w:left="140"/>
              <w:spacing w:after="0"/>
              <w:rPr>
                <w:sz w:val="20"/>
                <w:szCs w:val="20"/>
                <w:color w:val="auto"/>
              </w:rPr>
            </w:pPr>
            <w:r>
              <w:rPr>
                <w:rFonts w:ascii="Arial" w:cs="Arial" w:eastAsia="Arial" w:hAnsi="Arial"/>
                <w:sz w:val="18"/>
                <w:szCs w:val="18"/>
                <w:color w:val="auto"/>
              </w:rPr>
              <w:t>$</w:t>
            </w:r>
          </w:p>
        </w:tc>
        <w:tc>
          <w:tcPr>
            <w:tcW w:w="840" w:type="dxa"/>
            <w:vAlign w:val="bottom"/>
          </w:tcPr>
          <w:p>
            <w:pPr>
              <w:ind w:left="5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52"/>
              <w:spacing w:after="0"/>
              <w:rPr>
                <w:sz w:val="20"/>
                <w:szCs w:val="20"/>
                <w:color w:val="auto"/>
              </w:rPr>
            </w:pPr>
            <w:r>
              <w:rPr>
                <w:rFonts w:ascii="Arial" w:cs="Arial" w:eastAsia="Arial" w:hAnsi="Arial"/>
                <w:sz w:val="18"/>
                <w:szCs w:val="18"/>
                <w:color w:val="auto"/>
              </w:rPr>
              <w:t>$</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57,200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1,404</w:t>
            </w:r>
          </w:p>
        </w:tc>
      </w:tr>
      <w:tr>
        <w:trPr>
          <w:trHeight w:val="480"/>
        </w:trPr>
        <w:tc>
          <w:tcPr>
            <w:tcW w:w="4620" w:type="dxa"/>
            <w:vAlign w:val="bottom"/>
            <w:tcBorders>
              <w:top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700" w:type="dxa"/>
            <w:vAlign w:val="bottom"/>
            <w:tcBorders>
              <w:top w:val="single" w:sz="8" w:color="auto"/>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w w:val="94"/>
              </w:rPr>
              <w:t>December 31, 2016</w:t>
            </w:r>
          </w:p>
        </w:tc>
        <w:tc>
          <w:tcPr>
            <w:tcW w:w="320" w:type="dxa"/>
            <w:vAlign w:val="bottom"/>
            <w:tcBorders>
              <w:top w:val="single" w:sz="8" w:color="auto"/>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37"/>
        </w:trPr>
        <w:tc>
          <w:tcPr>
            <w:tcW w:w="46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right"/>
              <w:ind w:right="312"/>
              <w:spacing w:after="0"/>
              <w:rPr>
                <w:sz w:val="20"/>
                <w:szCs w:val="20"/>
                <w:color w:val="auto"/>
              </w:rPr>
            </w:pPr>
            <w:r>
              <w:rPr>
                <w:rFonts w:ascii="Arial" w:cs="Arial" w:eastAsia="Arial" w:hAnsi="Arial"/>
                <w:sz w:val="18"/>
                <w:szCs w:val="18"/>
                <w:b w:val="1"/>
                <w:bCs w:val="1"/>
                <w:color w:val="auto"/>
                <w:w w:val="90"/>
              </w:rPr>
              <w:t>Less than 12 months</w:t>
            </w:r>
          </w:p>
        </w:tc>
        <w:tc>
          <w:tcPr>
            <w:tcW w:w="3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w w:val="95"/>
              </w:rPr>
              <w:t>12 months or more</w:t>
            </w:r>
          </w:p>
        </w:tc>
        <w:tc>
          <w:tcPr>
            <w:tcW w:w="3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Total</w:t>
            </w:r>
          </w:p>
        </w:tc>
        <w:tc>
          <w:tcPr>
            <w:tcW w:w="7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8"/>
        </w:trPr>
        <w:tc>
          <w:tcPr>
            <w:tcW w:w="4620" w:type="dxa"/>
            <w:vAlign w:val="bottom"/>
          </w:tcPr>
          <w:p>
            <w:pPr>
              <w:spacing w:after="0"/>
              <w:rPr>
                <w:sz w:val="19"/>
                <w:szCs w:val="19"/>
                <w:color w:val="auto"/>
              </w:rPr>
            </w:pPr>
          </w:p>
        </w:tc>
        <w:tc>
          <w:tcPr>
            <w:tcW w:w="1040" w:type="dxa"/>
            <w:vAlign w:val="bottom"/>
            <w:gridSpan w:val="2"/>
          </w:tcPr>
          <w:p>
            <w:pPr>
              <w:ind w:left="80"/>
              <w:spacing w:after="0"/>
              <w:rPr>
                <w:sz w:val="20"/>
                <w:szCs w:val="20"/>
                <w:color w:val="auto"/>
              </w:rPr>
            </w:pPr>
            <w:r>
              <w:rPr>
                <w:rFonts w:ascii="Arial" w:cs="Arial" w:eastAsia="Arial" w:hAnsi="Arial"/>
                <w:sz w:val="18"/>
                <w:szCs w:val="18"/>
                <w:b w:val="1"/>
                <w:bCs w:val="1"/>
                <w:color w:val="auto"/>
              </w:rPr>
              <w:t>Estimated</w:t>
            </w:r>
          </w:p>
        </w:tc>
        <w:tc>
          <w:tcPr>
            <w:tcW w:w="11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Unrealized</w:t>
            </w:r>
          </w:p>
        </w:tc>
        <w:tc>
          <w:tcPr>
            <w:tcW w:w="1180" w:type="dxa"/>
            <w:vAlign w:val="bottom"/>
            <w:gridSpan w:val="2"/>
          </w:tcPr>
          <w:p>
            <w:pPr>
              <w:ind w:left="200"/>
              <w:spacing w:after="0"/>
              <w:rPr>
                <w:sz w:val="20"/>
                <w:szCs w:val="20"/>
                <w:color w:val="auto"/>
              </w:rPr>
            </w:pPr>
            <w:r>
              <w:rPr>
                <w:rFonts w:ascii="Arial" w:cs="Arial" w:eastAsia="Arial" w:hAnsi="Arial"/>
                <w:sz w:val="18"/>
                <w:szCs w:val="18"/>
                <w:b w:val="1"/>
                <w:bCs w:val="1"/>
                <w:color w:val="auto"/>
              </w:rPr>
              <w:t>Estimated</w:t>
            </w:r>
          </w:p>
        </w:tc>
        <w:tc>
          <w:tcPr>
            <w:tcW w:w="11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Unrealized</w:t>
            </w:r>
          </w:p>
        </w:tc>
        <w:tc>
          <w:tcPr>
            <w:tcW w:w="1160" w:type="dxa"/>
            <w:vAlign w:val="bottom"/>
            <w:gridSpan w:val="2"/>
          </w:tcPr>
          <w:p>
            <w:pPr>
              <w:ind w:left="200"/>
              <w:spacing w:after="0"/>
              <w:rPr>
                <w:sz w:val="20"/>
                <w:szCs w:val="20"/>
                <w:color w:val="auto"/>
              </w:rPr>
            </w:pPr>
            <w:r>
              <w:rPr>
                <w:rFonts w:ascii="Arial" w:cs="Arial" w:eastAsia="Arial" w:hAnsi="Arial"/>
                <w:sz w:val="18"/>
                <w:szCs w:val="18"/>
                <w:b w:val="1"/>
                <w:bCs w:val="1"/>
                <w:color w:val="auto"/>
              </w:rPr>
              <w:t>Estimated</w:t>
            </w:r>
          </w:p>
        </w:tc>
        <w:tc>
          <w:tcPr>
            <w:tcW w:w="1060" w:type="dxa"/>
            <w:vAlign w:val="bottom"/>
            <w:gridSpan w:val="2"/>
          </w:tcPr>
          <w:p>
            <w:pPr>
              <w:jc w:val="center"/>
              <w:ind w:left="52"/>
              <w:spacing w:after="0"/>
              <w:rPr>
                <w:sz w:val="20"/>
                <w:szCs w:val="20"/>
                <w:color w:val="auto"/>
              </w:rPr>
            </w:pPr>
            <w:r>
              <w:rPr>
                <w:rFonts w:ascii="Arial" w:cs="Arial" w:eastAsia="Arial" w:hAnsi="Arial"/>
                <w:sz w:val="18"/>
                <w:szCs w:val="18"/>
                <w:b w:val="1"/>
                <w:bCs w:val="1"/>
                <w:color w:val="auto"/>
                <w:w w:val="87"/>
              </w:rPr>
              <w:t>Unrealized</w:t>
            </w:r>
          </w:p>
        </w:tc>
        <w:tc>
          <w:tcPr>
            <w:tcW w:w="20" w:type="dxa"/>
            <w:vAlign w:val="bottom"/>
          </w:tcPr>
          <w:p>
            <w:pPr>
              <w:spacing w:after="0"/>
              <w:rPr>
                <w:sz w:val="19"/>
                <w:szCs w:val="19"/>
                <w:color w:val="auto"/>
              </w:rPr>
            </w:pPr>
          </w:p>
        </w:tc>
      </w:tr>
      <w:tr>
        <w:trPr>
          <w:trHeight w:val="251"/>
        </w:trPr>
        <w:tc>
          <w:tcPr>
            <w:tcW w:w="4620" w:type="dxa"/>
            <w:vAlign w:val="bottom"/>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04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c>
          <w:tcPr>
            <w:tcW w:w="280" w:type="dxa"/>
            <w:vAlign w:val="bottom"/>
          </w:tcPr>
          <w:p>
            <w:pPr>
              <w:spacing w:after="0"/>
              <w:rPr>
                <w:sz w:val="21"/>
                <w:szCs w:val="21"/>
                <w:color w:val="auto"/>
              </w:rPr>
            </w:pPr>
          </w:p>
        </w:tc>
        <w:tc>
          <w:tcPr>
            <w:tcW w:w="900" w:type="dxa"/>
            <w:vAlign w:val="bottom"/>
          </w:tcPr>
          <w:p>
            <w:pPr>
              <w:jc w:val="center"/>
              <w:ind w:right="192"/>
              <w:spacing w:after="0"/>
              <w:rPr>
                <w:sz w:val="20"/>
                <w:szCs w:val="20"/>
                <w:color w:val="auto"/>
              </w:rPr>
            </w:pPr>
            <w:r>
              <w:rPr>
                <w:rFonts w:ascii="Arial" w:cs="Arial" w:eastAsia="Arial" w:hAnsi="Arial"/>
                <w:sz w:val="18"/>
                <w:szCs w:val="18"/>
                <w:b w:val="1"/>
                <w:bCs w:val="1"/>
                <w:color w:val="auto"/>
                <w:w w:val="80"/>
              </w:rPr>
              <w:t>Losses</w:t>
            </w:r>
          </w:p>
        </w:tc>
        <w:tc>
          <w:tcPr>
            <w:tcW w:w="1180" w:type="dxa"/>
            <w:vAlign w:val="bottom"/>
            <w:gridSpan w:val="2"/>
          </w:tcPr>
          <w:p>
            <w:pPr>
              <w:ind w:left="200"/>
              <w:spacing w:after="0"/>
              <w:rPr>
                <w:sz w:val="20"/>
                <w:szCs w:val="20"/>
                <w:color w:val="auto"/>
              </w:rPr>
            </w:pPr>
            <w:r>
              <w:rPr>
                <w:rFonts w:ascii="Arial" w:cs="Arial" w:eastAsia="Arial" w:hAnsi="Arial"/>
                <w:sz w:val="18"/>
                <w:szCs w:val="18"/>
                <w:b w:val="1"/>
                <w:bCs w:val="1"/>
                <w:color w:val="auto"/>
              </w:rPr>
              <w:t>Fair Value</w:t>
            </w:r>
          </w:p>
        </w:tc>
        <w:tc>
          <w:tcPr>
            <w:tcW w:w="860" w:type="dxa"/>
            <w:vAlign w:val="bottom"/>
          </w:tcPr>
          <w:p>
            <w:pPr>
              <w:jc w:val="center"/>
              <w:ind w:left="232"/>
              <w:spacing w:after="0"/>
              <w:rPr>
                <w:sz w:val="20"/>
                <w:szCs w:val="20"/>
                <w:color w:val="auto"/>
              </w:rPr>
            </w:pPr>
            <w:r>
              <w:rPr>
                <w:rFonts w:ascii="Arial" w:cs="Arial" w:eastAsia="Arial" w:hAnsi="Arial"/>
                <w:sz w:val="18"/>
                <w:szCs w:val="18"/>
                <w:b w:val="1"/>
                <w:bCs w:val="1"/>
                <w:color w:val="auto"/>
                <w:w w:val="80"/>
              </w:rPr>
              <w:t>Losses</w:t>
            </w:r>
          </w:p>
        </w:tc>
        <w:tc>
          <w:tcPr>
            <w:tcW w:w="320" w:type="dxa"/>
            <w:vAlign w:val="bottom"/>
          </w:tcPr>
          <w:p>
            <w:pPr>
              <w:spacing w:after="0"/>
              <w:rPr>
                <w:sz w:val="21"/>
                <w:szCs w:val="21"/>
                <w:color w:val="auto"/>
              </w:rPr>
            </w:pPr>
          </w:p>
        </w:tc>
        <w:tc>
          <w:tcPr>
            <w:tcW w:w="1160" w:type="dxa"/>
            <w:vAlign w:val="bottom"/>
            <w:gridSpan w:val="2"/>
          </w:tcPr>
          <w:p>
            <w:pPr>
              <w:ind w:left="200"/>
              <w:spacing w:after="0"/>
              <w:rPr>
                <w:sz w:val="20"/>
                <w:szCs w:val="20"/>
                <w:color w:val="auto"/>
              </w:rPr>
            </w:pPr>
            <w:r>
              <w:rPr>
                <w:rFonts w:ascii="Arial" w:cs="Arial" w:eastAsia="Arial" w:hAnsi="Arial"/>
                <w:sz w:val="18"/>
                <w:szCs w:val="18"/>
                <w:b w:val="1"/>
                <w:bCs w:val="1"/>
                <w:color w:val="auto"/>
              </w:rPr>
              <w:t>Fair Value</w:t>
            </w:r>
          </w:p>
        </w:tc>
        <w:tc>
          <w:tcPr>
            <w:tcW w:w="300" w:type="dxa"/>
            <w:vAlign w:val="bottom"/>
          </w:tcPr>
          <w:p>
            <w:pPr>
              <w:spacing w:after="0"/>
              <w:rPr>
                <w:sz w:val="21"/>
                <w:szCs w:val="21"/>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77"/>
              </w:rPr>
              <w:t>Losses</w:t>
            </w:r>
          </w:p>
        </w:tc>
      </w:tr>
      <w:tr>
        <w:trPr>
          <w:trHeight w:val="243"/>
        </w:trPr>
        <w:tc>
          <w:tcPr>
            <w:tcW w:w="462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8"/>
                <w:szCs w:val="18"/>
                <w:color w:val="auto"/>
              </w:rPr>
              <w:t>State and political subdivisions</w:t>
            </w:r>
          </w:p>
        </w:tc>
        <w:tc>
          <w:tcPr>
            <w:tcW w:w="18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140,384</w:t>
            </w:r>
          </w:p>
        </w:tc>
        <w:tc>
          <w:tcPr>
            <w:tcW w:w="28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3,328</w:t>
            </w:r>
          </w:p>
        </w:tc>
        <w:tc>
          <w:tcPr>
            <w:tcW w:w="340" w:type="dxa"/>
            <w:vAlign w:val="bottom"/>
            <w:tcBorders>
              <w:top w:val="single" w:sz="8" w:color="auto"/>
            </w:tcBorders>
            <w:shd w:val="clear" w:color="auto" w:fill="C0C0C0"/>
          </w:tcPr>
          <w:p>
            <w:pPr>
              <w:ind w:left="14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0C0C0"/>
          </w:tcPr>
          <w:p>
            <w:pPr>
              <w:ind w:left="5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0C0C0"/>
          </w:tcPr>
          <w:p>
            <w:pPr>
              <w:jc w:val="right"/>
              <w:ind w:right="552"/>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C0C0C0"/>
          </w:tcPr>
          <w:p>
            <w:pPr>
              <w:ind w:left="2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140,384</w:t>
            </w:r>
          </w:p>
        </w:tc>
        <w:tc>
          <w:tcPr>
            <w:tcW w:w="30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3,328</w:t>
            </w:r>
          </w:p>
        </w:tc>
        <w:tc>
          <w:tcPr>
            <w:tcW w:w="20" w:type="dxa"/>
            <w:vAlign w:val="bottom"/>
          </w:tcPr>
          <w:p>
            <w:pPr>
              <w:spacing w:after="0"/>
              <w:rPr>
                <w:sz w:val="21"/>
                <w:szCs w:val="21"/>
                <w:color w:val="auto"/>
              </w:rPr>
            </w:pPr>
          </w:p>
        </w:tc>
      </w:tr>
      <w:tr>
        <w:trPr>
          <w:trHeight w:val="235"/>
        </w:trPr>
        <w:tc>
          <w:tcPr>
            <w:tcW w:w="4620" w:type="dxa"/>
            <w:vAlign w:val="bottom"/>
          </w:tcPr>
          <w:p>
            <w:pPr>
              <w:spacing w:after="0"/>
              <w:rPr>
                <w:sz w:val="20"/>
                <w:szCs w:val="20"/>
                <w:color w:val="auto"/>
              </w:rPr>
            </w:pPr>
            <w:r>
              <w:rPr>
                <w:rFonts w:ascii="Arial" w:cs="Arial" w:eastAsia="Arial" w:hAnsi="Arial"/>
                <w:sz w:val="18"/>
                <w:szCs w:val="18"/>
                <w:color w:val="auto"/>
              </w:rPr>
              <w:t>U.S. government agencies</w:t>
            </w:r>
          </w:p>
        </w:tc>
        <w:tc>
          <w:tcPr>
            <w:tcW w:w="180" w:type="dxa"/>
            <w:vAlign w:val="bottom"/>
          </w:tcPr>
          <w:p>
            <w:pPr>
              <w:spacing w:after="0"/>
              <w:rPr>
                <w:sz w:val="20"/>
                <w:szCs w:val="20"/>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12,672</w:t>
            </w:r>
          </w:p>
        </w:tc>
        <w:tc>
          <w:tcPr>
            <w:tcW w:w="280" w:type="dxa"/>
            <w:vAlign w:val="bottom"/>
          </w:tcPr>
          <w:p>
            <w:pPr>
              <w:spacing w:after="0"/>
              <w:rPr>
                <w:sz w:val="20"/>
                <w:szCs w:val="20"/>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403</w:t>
            </w:r>
          </w:p>
        </w:tc>
        <w:tc>
          <w:tcPr>
            <w:tcW w:w="340" w:type="dxa"/>
            <w:vAlign w:val="bottom"/>
          </w:tcPr>
          <w:p>
            <w:pPr>
              <w:spacing w:after="0"/>
              <w:rPr>
                <w:sz w:val="20"/>
                <w:szCs w:val="20"/>
                <w:color w:val="auto"/>
              </w:rPr>
            </w:pPr>
          </w:p>
        </w:tc>
        <w:tc>
          <w:tcPr>
            <w:tcW w:w="840" w:type="dxa"/>
            <w:vAlign w:val="bottom"/>
          </w:tcPr>
          <w:p>
            <w:pPr>
              <w:ind w:left="52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0"/>
                <w:szCs w:val="20"/>
                <w:color w:val="auto"/>
              </w:rPr>
            </w:pP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12,672</w:t>
            </w:r>
          </w:p>
        </w:tc>
        <w:tc>
          <w:tcPr>
            <w:tcW w:w="30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403</w:t>
            </w:r>
          </w:p>
        </w:tc>
      </w:tr>
      <w:tr>
        <w:trPr>
          <w:trHeight w:val="244"/>
        </w:trPr>
        <w:tc>
          <w:tcPr>
            <w:tcW w:w="462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Certificates of deposit</w:t>
            </w:r>
          </w:p>
        </w:tc>
        <w:tc>
          <w:tcPr>
            <w:tcW w:w="180" w:type="dxa"/>
            <w:vAlign w:val="bottom"/>
            <w:tcBorders>
              <w:bottom w:val="single" w:sz="8" w:color="auto"/>
            </w:tcBorders>
            <w:shd w:val="clear" w:color="auto" w:fill="C0C0C0"/>
          </w:tcPr>
          <w:p>
            <w:pPr>
              <w:spacing w:after="0"/>
              <w:rPr>
                <w:sz w:val="21"/>
                <w:szCs w:val="21"/>
                <w:color w:val="auto"/>
              </w:rPr>
            </w:pPr>
          </w:p>
        </w:tc>
        <w:tc>
          <w:tcPr>
            <w:tcW w:w="86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0C0C0"/>
          </w:tcPr>
          <w:p>
            <w:pPr>
              <w:spacing w:after="0"/>
              <w:rPr>
                <w:sz w:val="21"/>
                <w:szCs w:val="21"/>
                <w:color w:val="auto"/>
              </w:rPr>
            </w:pPr>
          </w:p>
        </w:tc>
        <w:tc>
          <w:tcPr>
            <w:tcW w:w="90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0C0C0"/>
          </w:tcPr>
          <w:p>
            <w:pPr>
              <w:spacing w:after="0"/>
              <w:rPr>
                <w:sz w:val="21"/>
                <w:szCs w:val="21"/>
                <w:color w:val="auto"/>
              </w:rPr>
            </w:pPr>
          </w:p>
        </w:tc>
        <w:tc>
          <w:tcPr>
            <w:tcW w:w="840" w:type="dxa"/>
            <w:vAlign w:val="bottom"/>
            <w:tcBorders>
              <w:bottom w:val="single" w:sz="8" w:color="auto"/>
            </w:tcBorders>
            <w:shd w:val="clear" w:color="auto" w:fill="C0C0C0"/>
          </w:tcPr>
          <w:p>
            <w:pPr>
              <w:ind w:left="5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0C0C0"/>
          </w:tcPr>
          <w:p>
            <w:pPr>
              <w:spacing w:after="0"/>
              <w:rPr>
                <w:sz w:val="21"/>
                <w:szCs w:val="21"/>
                <w:color w:val="auto"/>
              </w:rPr>
            </w:pPr>
          </w:p>
        </w:tc>
        <w:tc>
          <w:tcPr>
            <w:tcW w:w="320" w:type="dxa"/>
            <w:vAlign w:val="bottom"/>
            <w:tcBorders>
              <w:bottom w:val="single" w:sz="8" w:color="auto"/>
            </w:tcBorders>
            <w:shd w:val="clear" w:color="auto" w:fill="C0C0C0"/>
          </w:tcPr>
          <w:p>
            <w:pPr>
              <w:ind w:left="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0C0C0"/>
          </w:tcPr>
          <w:p>
            <w:pPr>
              <w:spacing w:after="0"/>
              <w:rPr>
                <w:sz w:val="21"/>
                <w:szCs w:val="21"/>
                <w:color w:val="auto"/>
              </w:rPr>
            </w:pPr>
          </w:p>
        </w:tc>
        <w:tc>
          <w:tcPr>
            <w:tcW w:w="82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0C0C0"/>
          </w:tcPr>
          <w:p>
            <w:pPr>
              <w:spacing w:after="0"/>
              <w:rPr>
                <w:sz w:val="21"/>
                <w:szCs w:val="21"/>
                <w:color w:val="auto"/>
              </w:rPr>
            </w:pPr>
          </w:p>
        </w:tc>
        <w:tc>
          <w:tcPr>
            <w:tcW w:w="7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37"/>
        </w:trPr>
        <w:tc>
          <w:tcPr>
            <w:tcW w:w="462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153,056</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3,731</w:t>
            </w:r>
          </w:p>
        </w:tc>
        <w:tc>
          <w:tcPr>
            <w:tcW w:w="3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55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153,056</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3,731</w:t>
            </w:r>
          </w:p>
        </w:tc>
      </w:tr>
    </w:tbl>
    <w:p>
      <w:pPr>
        <w:spacing w:after="0" w:line="20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There were 35 securities, or 11% of the total (none greater than 12 months) in an unrealized loss position as of June 30, 2017. There were 108 securities, 31% of the total (none greater than 12 months), in an unrealized loss position as of December 31, 2016. All unrealized losses were reviewed to determine whether the losses were other than temporary. Management believes that all unrealized losses are temporary since they were market driven, and it is more likely than not that the Company will not be required to sell prior to recovery of the amortized basis.</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amortized cost and fair value of investment securities by contractual maturity are shown in the following table. Expected maturities may differ from contractual maturities because borrowers have the right to prepay obligations with or without prepayment penalties.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100" w:type="dxa"/>
            <w:vAlign w:val="bottom"/>
            <w:gridSpan w:val="4"/>
          </w:tcPr>
          <w:p>
            <w:pPr>
              <w:jc w:val="right"/>
              <w:ind w:right="720"/>
              <w:spacing w:after="0"/>
              <w:rPr>
                <w:sz w:val="20"/>
                <w:szCs w:val="20"/>
                <w:color w:val="auto"/>
              </w:rPr>
            </w:pPr>
            <w:r>
              <w:rPr>
                <w:rFonts w:ascii="Arial" w:cs="Arial" w:eastAsia="Arial" w:hAnsi="Arial"/>
                <w:sz w:val="18"/>
                <w:szCs w:val="18"/>
                <w:b w:val="1"/>
                <w:bCs w:val="1"/>
                <w:color w:val="auto"/>
              </w:rPr>
              <w:t>June 30, 2017</w:t>
            </w:r>
          </w:p>
        </w:tc>
      </w:tr>
      <w:tr>
        <w:trPr>
          <w:trHeight w:val="237"/>
        </w:trPr>
        <w:tc>
          <w:tcPr>
            <w:tcW w:w="9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3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7"/>
              </w:rPr>
              <w:t>Amortized Cost</w:t>
            </w: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88"/>
              </w:rPr>
              <w:t>Fair Value</w:t>
            </w:r>
          </w:p>
        </w:tc>
        <w:tc>
          <w:tcPr>
            <w:tcW w:w="20" w:type="dxa"/>
            <w:vAlign w:val="bottom"/>
          </w:tcPr>
          <w:p>
            <w:pPr>
              <w:spacing w:after="0"/>
              <w:rPr>
                <w:sz w:val="20"/>
                <w:szCs w:val="20"/>
                <w:color w:val="auto"/>
              </w:rPr>
            </w:pPr>
          </w:p>
        </w:tc>
      </w:tr>
      <w:tr>
        <w:trPr>
          <w:trHeight w:val="243"/>
        </w:trPr>
        <w:tc>
          <w:tcPr>
            <w:tcW w:w="9000" w:type="dxa"/>
            <w:vAlign w:val="bottom"/>
            <w:shd w:val="clear" w:color="auto" w:fill="C0C0C0"/>
          </w:tcPr>
          <w:p>
            <w:pPr>
              <w:spacing w:after="0"/>
              <w:rPr>
                <w:sz w:val="20"/>
                <w:szCs w:val="20"/>
                <w:color w:val="auto"/>
              </w:rPr>
            </w:pPr>
            <w:r>
              <w:rPr>
                <w:rFonts w:ascii="Arial" w:cs="Arial" w:eastAsia="Arial" w:hAnsi="Arial"/>
                <w:sz w:val="18"/>
                <w:szCs w:val="18"/>
                <w:color w:val="auto"/>
              </w:rPr>
              <w:t>Due in 1 year or less</w:t>
            </w:r>
          </w:p>
        </w:tc>
        <w:tc>
          <w:tcPr>
            <w:tcW w:w="34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21,393</w:t>
            </w:r>
          </w:p>
        </w:tc>
        <w:tc>
          <w:tcPr>
            <w:tcW w:w="2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21,574</w:t>
            </w:r>
          </w:p>
        </w:tc>
        <w:tc>
          <w:tcPr>
            <w:tcW w:w="20" w:type="dxa"/>
            <w:vAlign w:val="bottom"/>
          </w:tcPr>
          <w:p>
            <w:pPr>
              <w:spacing w:after="0"/>
              <w:rPr>
                <w:sz w:val="21"/>
                <w:szCs w:val="21"/>
                <w:color w:val="auto"/>
              </w:rPr>
            </w:pPr>
          </w:p>
        </w:tc>
      </w:tr>
      <w:tr>
        <w:trPr>
          <w:trHeight w:val="235"/>
        </w:trPr>
        <w:tc>
          <w:tcPr>
            <w:tcW w:w="9000" w:type="dxa"/>
            <w:vAlign w:val="bottom"/>
          </w:tcPr>
          <w:p>
            <w:pPr>
              <w:spacing w:after="0"/>
              <w:rPr>
                <w:sz w:val="20"/>
                <w:szCs w:val="20"/>
                <w:color w:val="auto"/>
              </w:rPr>
            </w:pPr>
            <w:r>
              <w:rPr>
                <w:rFonts w:ascii="Arial" w:cs="Arial" w:eastAsia="Arial" w:hAnsi="Arial"/>
                <w:sz w:val="18"/>
                <w:szCs w:val="18"/>
                <w:color w:val="auto"/>
              </w:rPr>
              <w:t>Due after 1 year through 5 years</w:t>
            </w:r>
          </w:p>
        </w:tc>
        <w:tc>
          <w:tcPr>
            <w:tcW w:w="340" w:type="dxa"/>
            <w:vAlign w:val="bottom"/>
          </w:tcPr>
          <w:p>
            <w:pPr>
              <w:spacing w:after="0"/>
              <w:rPr>
                <w:sz w:val="20"/>
                <w:szCs w:val="20"/>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58,167</w:t>
            </w:r>
          </w:p>
        </w:tc>
        <w:tc>
          <w:tcPr>
            <w:tcW w:w="22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59,364</w:t>
            </w:r>
          </w:p>
        </w:tc>
      </w:tr>
      <w:tr>
        <w:trPr>
          <w:trHeight w:val="251"/>
        </w:trPr>
        <w:tc>
          <w:tcPr>
            <w:tcW w:w="9000" w:type="dxa"/>
            <w:vAlign w:val="bottom"/>
            <w:shd w:val="clear" w:color="auto" w:fill="C0C0C0"/>
          </w:tcPr>
          <w:p>
            <w:pPr>
              <w:spacing w:after="0"/>
              <w:rPr>
                <w:sz w:val="20"/>
                <w:szCs w:val="20"/>
                <w:color w:val="auto"/>
              </w:rPr>
            </w:pPr>
            <w:r>
              <w:rPr>
                <w:rFonts w:ascii="Arial" w:cs="Arial" w:eastAsia="Arial" w:hAnsi="Arial"/>
                <w:sz w:val="18"/>
                <w:szCs w:val="18"/>
                <w:color w:val="auto"/>
              </w:rPr>
              <w:t>Due after 5 years through 10 years</w:t>
            </w:r>
          </w:p>
        </w:tc>
        <w:tc>
          <w:tcPr>
            <w:tcW w:w="340" w:type="dxa"/>
            <w:vAlign w:val="bottom"/>
            <w:shd w:val="clear" w:color="auto" w:fill="C0C0C0"/>
          </w:tcPr>
          <w:p>
            <w:pPr>
              <w:spacing w:after="0"/>
              <w:rPr>
                <w:sz w:val="21"/>
                <w:szCs w:val="21"/>
                <w:color w:val="auto"/>
              </w:rPr>
            </w:pPr>
          </w:p>
        </w:tc>
        <w:tc>
          <w:tcPr>
            <w:tcW w:w="9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207,799</w:t>
            </w:r>
          </w:p>
        </w:tc>
        <w:tc>
          <w:tcPr>
            <w:tcW w:w="220" w:type="dxa"/>
            <w:vAlign w:val="bottom"/>
            <w:shd w:val="clear" w:color="auto" w:fill="C0C0C0"/>
          </w:tcPr>
          <w:p>
            <w:pPr>
              <w:spacing w:after="0"/>
              <w:rPr>
                <w:sz w:val="21"/>
                <w:szCs w:val="21"/>
                <w:color w:val="auto"/>
              </w:rPr>
            </w:pPr>
          </w:p>
        </w:tc>
        <w:tc>
          <w:tcPr>
            <w:tcW w:w="8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215,950</w:t>
            </w:r>
          </w:p>
        </w:tc>
        <w:tc>
          <w:tcPr>
            <w:tcW w:w="20" w:type="dxa"/>
            <w:vAlign w:val="bottom"/>
          </w:tcPr>
          <w:p>
            <w:pPr>
              <w:spacing w:after="0"/>
              <w:rPr>
                <w:sz w:val="21"/>
                <w:szCs w:val="21"/>
                <w:color w:val="auto"/>
              </w:rPr>
            </w:pPr>
          </w:p>
        </w:tc>
      </w:tr>
      <w:tr>
        <w:trPr>
          <w:trHeight w:val="237"/>
        </w:trPr>
        <w:tc>
          <w:tcPr>
            <w:tcW w:w="9000" w:type="dxa"/>
            <w:vAlign w:val="bottom"/>
          </w:tcPr>
          <w:p>
            <w:pPr>
              <w:spacing w:after="0"/>
              <w:rPr>
                <w:sz w:val="20"/>
                <w:szCs w:val="20"/>
                <w:color w:val="auto"/>
              </w:rPr>
            </w:pPr>
            <w:r>
              <w:rPr>
                <w:rFonts w:ascii="Arial" w:cs="Arial" w:eastAsia="Arial" w:hAnsi="Arial"/>
                <w:sz w:val="18"/>
                <w:szCs w:val="18"/>
                <w:color w:val="auto"/>
              </w:rPr>
              <w:t>Due after 10 years</w:t>
            </w:r>
          </w:p>
        </w:tc>
        <w:tc>
          <w:tcPr>
            <w:tcW w:w="340" w:type="dxa"/>
            <w:vAlign w:val="bottom"/>
          </w:tcPr>
          <w:p>
            <w:pPr>
              <w:spacing w:after="0"/>
              <w:rPr>
                <w:sz w:val="20"/>
                <w:szCs w:val="20"/>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134,768</w:t>
            </w:r>
          </w:p>
        </w:tc>
        <w:tc>
          <w:tcPr>
            <w:tcW w:w="22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135,091</w:t>
            </w:r>
          </w:p>
        </w:tc>
      </w:tr>
      <w:tr>
        <w:trPr>
          <w:trHeight w:val="237"/>
        </w:trPr>
        <w:tc>
          <w:tcPr>
            <w:tcW w:w="9000" w:type="dxa"/>
            <w:vAlign w:val="bottom"/>
            <w:tcBorders>
              <w:top w:val="single" w:sz="8" w:color="auto"/>
              <w:bottom w:val="single" w:sz="8" w:color="auto"/>
            </w:tcBorders>
            <w:shd w:val="clear" w:color="auto" w:fill="C0C0C0"/>
          </w:tcPr>
          <w:p>
            <w:pPr>
              <w:ind w:left="28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422,127</w:t>
            </w:r>
          </w:p>
        </w:tc>
        <w:tc>
          <w:tcPr>
            <w:tcW w:w="22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431,979</w:t>
            </w:r>
          </w:p>
        </w:tc>
        <w:tc>
          <w:tcPr>
            <w:tcW w:w="20" w:type="dxa"/>
            <w:vAlign w:val="bottom"/>
          </w:tcPr>
          <w:p>
            <w:pPr>
              <w:spacing w:after="0"/>
              <w:rPr>
                <w:sz w:val="20"/>
                <w:szCs w:val="20"/>
                <w:color w:val="auto"/>
              </w:rPr>
            </w:pPr>
          </w:p>
        </w:tc>
      </w:tr>
    </w:tbl>
    <w:p>
      <w:pPr>
        <w:spacing w:after="0" w:line="208"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Proceeds from sales of investment securities classified as available-for-sale were $0 and $2,452,000 for the three months ended June 30, 2017 and 2016, respectively, and were $0 and $21,491,000 for the six months ended June 30, 2017 and 2016, respectively. Gross realized gains were $0 and $79,000 for the three months ended June 30, 2017 and 2016, respectively, and were $0 and $387,000 for the six months ended June 30, 2017 and 2016, respectively. There was one security totaling $3,750,000 pledged to secure public deposits and for other purposes at June 30, 2017.</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9"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22"/>
        </w:trPr>
        <w:tc>
          <w:tcPr>
            <w:tcW w:w="6280" w:type="dxa"/>
            <w:vAlign w:val="bottom"/>
          </w:tcPr>
          <w:p>
            <w:pPr>
              <w:spacing w:after="0"/>
              <w:rPr>
                <w:sz w:val="20"/>
                <w:szCs w:val="20"/>
                <w:color w:val="auto"/>
              </w:rPr>
            </w:pPr>
            <w:r>
              <w:rPr>
                <w:rFonts w:ascii="Arial" w:cs="Arial" w:eastAsia="Arial" w:hAnsi="Arial"/>
                <w:sz w:val="18"/>
                <w:szCs w:val="18"/>
                <w:color w:val="auto"/>
              </w:rPr>
              <w:t>Note 12 – Fair Value of Financial Instruments</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432"/>
        </w:trPr>
        <w:tc>
          <w:tcPr>
            <w:tcW w:w="7500" w:type="dxa"/>
            <w:vAlign w:val="bottom"/>
            <w:gridSpan w:val="3"/>
          </w:tcPr>
          <w:p>
            <w:pPr>
              <w:spacing w:after="0"/>
              <w:rPr>
                <w:sz w:val="20"/>
                <w:szCs w:val="20"/>
                <w:color w:val="auto"/>
              </w:rPr>
            </w:pPr>
            <w:r>
              <w:rPr>
                <w:rFonts w:ascii="Arial" w:cs="Arial" w:eastAsia="Arial" w:hAnsi="Arial"/>
                <w:sz w:val="18"/>
                <w:szCs w:val="18"/>
                <w:color w:val="auto"/>
                <w:w w:val="90"/>
              </w:rPr>
              <w:t>Following is a summary of the carrying amounts and fair values of the Company’s financial instruments:</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55"/>
        </w:trPr>
        <w:tc>
          <w:tcPr>
            <w:tcW w:w="6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40" w:type="dxa"/>
            <w:vAlign w:val="bottom"/>
            <w:gridSpan w:val="4"/>
          </w:tcPr>
          <w:p>
            <w:pPr>
              <w:ind w:left="580"/>
              <w:spacing w:after="0"/>
              <w:rPr>
                <w:sz w:val="20"/>
                <w:szCs w:val="20"/>
                <w:color w:val="auto"/>
              </w:rPr>
            </w:pPr>
            <w:r>
              <w:rPr>
                <w:rFonts w:ascii="Arial" w:cs="Arial" w:eastAsia="Arial" w:hAnsi="Arial"/>
                <w:sz w:val="18"/>
                <w:szCs w:val="18"/>
                <w:b w:val="1"/>
                <w:bCs w:val="1"/>
                <w:color w:val="auto"/>
              </w:rPr>
              <w:t>June 30, 2017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00" w:type="dxa"/>
            <w:vAlign w:val="bottom"/>
            <w:gridSpan w:val="3"/>
          </w:tcPr>
          <w:p>
            <w:pPr>
              <w:jc w:val="right"/>
              <w:ind w:right="412"/>
              <w:spacing w:after="0"/>
              <w:rPr>
                <w:sz w:val="20"/>
                <w:szCs w:val="20"/>
                <w:color w:val="auto"/>
              </w:rPr>
            </w:pPr>
            <w:r>
              <w:rPr>
                <w:rFonts w:ascii="Arial" w:cs="Arial" w:eastAsia="Arial" w:hAnsi="Arial"/>
                <w:sz w:val="18"/>
                <w:szCs w:val="18"/>
                <w:b w:val="1"/>
                <w:bCs w:val="1"/>
                <w:color w:val="auto"/>
              </w:rPr>
              <w:t>December 31, 2016</w:t>
            </w:r>
          </w:p>
        </w:tc>
      </w:tr>
      <w:tr>
        <w:trPr>
          <w:trHeight w:val="228"/>
        </w:trPr>
        <w:tc>
          <w:tcPr>
            <w:tcW w:w="6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232"/>
              <w:spacing w:after="0"/>
              <w:rPr>
                <w:sz w:val="20"/>
                <w:szCs w:val="20"/>
                <w:color w:val="auto"/>
              </w:rPr>
            </w:pPr>
            <w:r>
              <w:rPr>
                <w:rFonts w:ascii="Arial" w:cs="Arial" w:eastAsia="Arial" w:hAnsi="Arial"/>
                <w:sz w:val="18"/>
                <w:szCs w:val="18"/>
                <w:b w:val="1"/>
                <w:bCs w:val="1"/>
                <w:color w:val="auto"/>
                <w:w w:val="99"/>
              </w:rPr>
              <w:t>Carrying</w:t>
            </w: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232"/>
              <w:spacing w:after="0"/>
              <w:rPr>
                <w:sz w:val="20"/>
                <w:szCs w:val="20"/>
                <w:color w:val="auto"/>
              </w:rPr>
            </w:pPr>
            <w:r>
              <w:rPr>
                <w:rFonts w:ascii="Arial" w:cs="Arial" w:eastAsia="Arial" w:hAnsi="Arial"/>
                <w:sz w:val="18"/>
                <w:szCs w:val="18"/>
                <w:b w:val="1"/>
                <w:bCs w:val="1"/>
                <w:color w:val="auto"/>
                <w:w w:val="99"/>
              </w:rPr>
              <w:t>Carrying</w:t>
            </w: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r>
      <w:tr>
        <w:trPr>
          <w:trHeight w:val="251"/>
        </w:trPr>
        <w:tc>
          <w:tcPr>
            <w:tcW w:w="6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Amount</w:t>
            </w: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Fair Value</w:t>
            </w: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Amount</w:t>
            </w: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92"/>
              </w:rPr>
              <w:t>Fair Value</w:t>
            </w:r>
          </w:p>
        </w:tc>
      </w:tr>
      <w:tr>
        <w:trPr>
          <w:trHeight w:val="243"/>
        </w:trPr>
        <w:tc>
          <w:tcPr>
            <w:tcW w:w="6280" w:type="dxa"/>
            <w:vAlign w:val="bottom"/>
            <w:shd w:val="clear" w:color="auto" w:fill="C0C0C0"/>
          </w:tcPr>
          <w:p>
            <w:pPr>
              <w:spacing w:after="0"/>
              <w:rPr>
                <w:sz w:val="20"/>
                <w:szCs w:val="20"/>
                <w:color w:val="auto"/>
              </w:rPr>
            </w:pPr>
            <w:r>
              <w:rPr>
                <w:rFonts w:ascii="Arial" w:cs="Arial" w:eastAsia="Arial" w:hAnsi="Arial"/>
                <w:sz w:val="18"/>
                <w:szCs w:val="18"/>
                <w:color w:val="auto"/>
              </w:rPr>
              <w:t>Balance sheet assets:</w:t>
            </w:r>
          </w:p>
        </w:tc>
        <w:tc>
          <w:tcPr>
            <w:tcW w:w="140" w:type="dxa"/>
            <w:vAlign w:val="bottom"/>
            <w:shd w:val="clear" w:color="auto" w:fill="C0C0C0"/>
          </w:tcPr>
          <w:p>
            <w:pPr>
              <w:spacing w:after="0"/>
              <w:rPr>
                <w:sz w:val="21"/>
                <w:szCs w:val="21"/>
                <w:color w:val="auto"/>
              </w:rPr>
            </w:pPr>
          </w:p>
        </w:tc>
        <w:tc>
          <w:tcPr>
            <w:tcW w:w="108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96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08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960" w:type="dxa"/>
            <w:vAlign w:val="bottom"/>
            <w:shd w:val="clear" w:color="auto" w:fill="C0C0C0"/>
          </w:tcPr>
          <w:p>
            <w:pPr>
              <w:spacing w:after="0"/>
              <w:rPr>
                <w:sz w:val="21"/>
                <w:szCs w:val="21"/>
                <w:color w:val="auto"/>
              </w:rPr>
            </w:pPr>
          </w:p>
        </w:tc>
      </w:tr>
      <w:tr>
        <w:trPr>
          <w:trHeight w:val="235"/>
        </w:trPr>
        <w:tc>
          <w:tcPr>
            <w:tcW w:w="6280" w:type="dxa"/>
            <w:vAlign w:val="bottom"/>
          </w:tcPr>
          <w:p>
            <w:pPr>
              <w:ind w:left="28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301,060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301,060</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266,743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266,743</w:t>
            </w:r>
          </w:p>
        </w:tc>
      </w:tr>
      <w:tr>
        <w:trPr>
          <w:trHeight w:val="251"/>
        </w:trPr>
        <w:tc>
          <w:tcPr>
            <w:tcW w:w="6280" w:type="dxa"/>
            <w:vAlign w:val="bottom"/>
            <w:shd w:val="clear" w:color="auto" w:fill="C0C0C0"/>
          </w:tcPr>
          <w:p>
            <w:pPr>
              <w:ind w:left="280"/>
              <w:spacing w:after="0"/>
              <w:rPr>
                <w:sz w:val="20"/>
                <w:szCs w:val="20"/>
                <w:color w:val="auto"/>
              </w:rPr>
            </w:pPr>
            <w:r>
              <w:rPr>
                <w:rFonts w:ascii="Arial" w:cs="Arial" w:eastAsia="Arial" w:hAnsi="Arial"/>
                <w:sz w:val="18"/>
                <w:szCs w:val="18"/>
                <w:color w:val="auto"/>
              </w:rPr>
              <w:t>Investment securities</w:t>
            </w:r>
          </w:p>
        </w:tc>
        <w:tc>
          <w:tcPr>
            <w:tcW w:w="140" w:type="dxa"/>
            <w:vAlign w:val="bottom"/>
            <w:shd w:val="clear" w:color="auto" w:fill="C0C0C0"/>
          </w:tcPr>
          <w:p>
            <w:pPr>
              <w:spacing w:after="0"/>
              <w:rPr>
                <w:sz w:val="21"/>
                <w:szCs w:val="21"/>
                <w:color w:val="auto"/>
              </w:rPr>
            </w:pPr>
          </w:p>
        </w:tc>
        <w:tc>
          <w:tcPr>
            <w:tcW w:w="10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431,979</w:t>
            </w:r>
          </w:p>
        </w:tc>
        <w:tc>
          <w:tcPr>
            <w:tcW w:w="260" w:type="dxa"/>
            <w:vAlign w:val="bottom"/>
            <w:shd w:val="clear" w:color="auto" w:fill="C0C0C0"/>
          </w:tcPr>
          <w:p>
            <w:pPr>
              <w:spacing w:after="0"/>
              <w:rPr>
                <w:sz w:val="21"/>
                <w:szCs w:val="21"/>
                <w:color w:val="auto"/>
              </w:rPr>
            </w:pPr>
          </w:p>
        </w:tc>
        <w:tc>
          <w:tcPr>
            <w:tcW w:w="110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431,979</w:t>
            </w:r>
          </w:p>
        </w:tc>
        <w:tc>
          <w:tcPr>
            <w:tcW w:w="1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0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390,552</w:t>
            </w:r>
          </w:p>
        </w:tc>
        <w:tc>
          <w:tcPr>
            <w:tcW w:w="260" w:type="dxa"/>
            <w:vAlign w:val="bottom"/>
            <w:shd w:val="clear" w:color="auto" w:fill="C0C0C0"/>
          </w:tcPr>
          <w:p>
            <w:pPr>
              <w:spacing w:after="0"/>
              <w:rPr>
                <w:sz w:val="21"/>
                <w:szCs w:val="21"/>
                <w:color w:val="auto"/>
              </w:rPr>
            </w:pPr>
          </w:p>
        </w:tc>
        <w:tc>
          <w:tcPr>
            <w:tcW w:w="9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390,552</w:t>
            </w:r>
          </w:p>
        </w:tc>
      </w:tr>
      <w:tr>
        <w:trPr>
          <w:trHeight w:val="235"/>
        </w:trPr>
        <w:tc>
          <w:tcPr>
            <w:tcW w:w="6280" w:type="dxa"/>
            <w:vAlign w:val="bottom"/>
          </w:tcPr>
          <w:p>
            <w:pPr>
              <w:ind w:left="280"/>
              <w:spacing w:after="0"/>
              <w:rPr>
                <w:sz w:val="20"/>
                <w:szCs w:val="20"/>
                <w:color w:val="auto"/>
              </w:rPr>
            </w:pPr>
            <w:r>
              <w:rPr>
                <w:rFonts w:ascii="Arial" w:cs="Arial" w:eastAsia="Arial" w:hAnsi="Arial"/>
                <w:sz w:val="18"/>
                <w:szCs w:val="18"/>
                <w:color w:val="auto"/>
              </w:rPr>
              <w:t>Loans, net</w:t>
            </w:r>
          </w:p>
        </w:tc>
        <w:tc>
          <w:tcPr>
            <w:tcW w:w="140" w:type="dxa"/>
            <w:vAlign w:val="bottom"/>
          </w:tcPr>
          <w:p>
            <w:pPr>
              <w:spacing w:after="0"/>
              <w:rPr>
                <w:sz w:val="20"/>
                <w:szCs w:val="20"/>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661,487</w:t>
            </w:r>
          </w:p>
        </w:tc>
        <w:tc>
          <w:tcPr>
            <w:tcW w:w="26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658,280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654,691</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652,028</w:t>
            </w:r>
          </w:p>
        </w:tc>
      </w:tr>
      <w:tr>
        <w:trPr>
          <w:trHeight w:val="244"/>
        </w:trPr>
        <w:tc>
          <w:tcPr>
            <w:tcW w:w="6280" w:type="dxa"/>
            <w:vAlign w:val="bottom"/>
            <w:tcBorders>
              <w:bottom w:val="single" w:sz="8" w:color="auto"/>
            </w:tcBorders>
            <w:shd w:val="clear" w:color="auto" w:fill="C0C0C0"/>
          </w:tcPr>
          <w:p>
            <w:pPr>
              <w:ind w:left="280"/>
              <w:spacing w:after="0"/>
              <w:rPr>
                <w:sz w:val="20"/>
                <w:szCs w:val="20"/>
                <w:color w:val="auto"/>
              </w:rPr>
            </w:pPr>
            <w:r>
              <w:rPr>
                <w:rFonts w:ascii="Arial" w:cs="Arial" w:eastAsia="Arial" w:hAnsi="Arial"/>
                <w:sz w:val="18"/>
                <w:szCs w:val="18"/>
                <w:color w:val="auto"/>
              </w:rPr>
              <w:t>Accrued interest receivable</w:t>
            </w:r>
          </w:p>
        </w:tc>
        <w:tc>
          <w:tcPr>
            <w:tcW w:w="140" w:type="dxa"/>
            <w:vAlign w:val="bottom"/>
            <w:tcBorders>
              <w:bottom w:val="single" w:sz="8" w:color="auto"/>
            </w:tcBorders>
            <w:shd w:val="clear" w:color="auto" w:fill="C0C0C0"/>
          </w:tcPr>
          <w:p>
            <w:pPr>
              <w:spacing w:after="0"/>
              <w:rPr>
                <w:sz w:val="21"/>
                <w:szCs w:val="21"/>
                <w:color w:val="auto"/>
              </w:rPr>
            </w:pPr>
          </w:p>
        </w:tc>
        <w:tc>
          <w:tcPr>
            <w:tcW w:w="108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7,037</w:t>
            </w:r>
          </w:p>
        </w:tc>
        <w:tc>
          <w:tcPr>
            <w:tcW w:w="260" w:type="dxa"/>
            <w:vAlign w:val="bottom"/>
            <w:tcBorders>
              <w:bottom w:val="single" w:sz="8" w:color="auto"/>
            </w:tcBorders>
            <w:shd w:val="clear" w:color="auto" w:fill="C0C0C0"/>
          </w:tcPr>
          <w:p>
            <w:pPr>
              <w:spacing w:after="0"/>
              <w:rPr>
                <w:sz w:val="21"/>
                <w:szCs w:val="21"/>
                <w:color w:val="auto"/>
              </w:rPr>
            </w:pPr>
          </w:p>
        </w:tc>
        <w:tc>
          <w:tcPr>
            <w:tcW w:w="1100" w:type="dxa"/>
            <w:vAlign w:val="bottom"/>
            <w:tcBorders>
              <w:bottom w:val="single" w:sz="8" w:color="auto"/>
            </w:tcBorders>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7,037</w:t>
            </w:r>
          </w:p>
        </w:tc>
        <w:tc>
          <w:tcPr>
            <w:tcW w:w="120" w:type="dxa"/>
            <w:vAlign w:val="bottom"/>
            <w:tcBorders>
              <w:bottom w:val="single" w:sz="8" w:color="auto"/>
            </w:tcBorders>
            <w:shd w:val="clear" w:color="auto" w:fill="C0C0C0"/>
          </w:tcPr>
          <w:p>
            <w:pPr>
              <w:spacing w:after="0"/>
              <w:rPr>
                <w:sz w:val="21"/>
                <w:szCs w:val="21"/>
                <w:color w:val="auto"/>
              </w:rPr>
            </w:pPr>
          </w:p>
        </w:tc>
        <w:tc>
          <w:tcPr>
            <w:tcW w:w="140" w:type="dxa"/>
            <w:vAlign w:val="bottom"/>
            <w:tcBorders>
              <w:bottom w:val="single" w:sz="8" w:color="auto"/>
            </w:tcBorders>
            <w:shd w:val="clear" w:color="auto" w:fill="C0C0C0"/>
          </w:tcPr>
          <w:p>
            <w:pPr>
              <w:spacing w:after="0"/>
              <w:rPr>
                <w:sz w:val="21"/>
                <w:szCs w:val="21"/>
                <w:color w:val="auto"/>
              </w:rPr>
            </w:pPr>
          </w:p>
        </w:tc>
        <w:tc>
          <w:tcPr>
            <w:tcW w:w="108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6,543</w:t>
            </w:r>
          </w:p>
        </w:tc>
        <w:tc>
          <w:tcPr>
            <w:tcW w:w="260" w:type="dxa"/>
            <w:vAlign w:val="bottom"/>
            <w:tcBorders>
              <w:bottom w:val="single" w:sz="8" w:color="auto"/>
            </w:tcBorders>
            <w:shd w:val="clear" w:color="auto" w:fill="C0C0C0"/>
          </w:tcPr>
          <w:p>
            <w:pPr>
              <w:spacing w:after="0"/>
              <w:rPr>
                <w:sz w:val="21"/>
                <w:szCs w:val="21"/>
                <w:color w:val="auto"/>
              </w:rPr>
            </w:pPr>
          </w:p>
        </w:tc>
        <w:tc>
          <w:tcPr>
            <w:tcW w:w="9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6,543</w:t>
            </w:r>
          </w:p>
        </w:tc>
      </w:tr>
      <w:tr>
        <w:trPr>
          <w:trHeight w:val="237"/>
        </w:trPr>
        <w:tc>
          <w:tcPr>
            <w:tcW w:w="628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1,401,563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1,398,356</w:t>
            </w:r>
          </w:p>
        </w:tc>
        <w:tc>
          <w:tcPr>
            <w:tcW w:w="2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1,318,529</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1,315,866</w:t>
            </w:r>
          </w:p>
        </w:tc>
      </w:tr>
      <w:tr>
        <w:trPr>
          <w:trHeight w:val="243"/>
        </w:trPr>
        <w:tc>
          <w:tcPr>
            <w:tcW w:w="6280" w:type="dxa"/>
            <w:vAlign w:val="bottom"/>
            <w:shd w:val="clear" w:color="auto" w:fill="C0C0C0"/>
          </w:tcPr>
          <w:p>
            <w:pPr>
              <w:spacing w:after="0"/>
              <w:rPr>
                <w:sz w:val="20"/>
                <w:szCs w:val="20"/>
                <w:color w:val="auto"/>
              </w:rPr>
            </w:pPr>
            <w:r>
              <w:rPr>
                <w:rFonts w:ascii="Arial" w:cs="Arial" w:eastAsia="Arial" w:hAnsi="Arial"/>
                <w:sz w:val="18"/>
                <w:szCs w:val="18"/>
                <w:color w:val="auto"/>
              </w:rPr>
              <w:t>Balance sheet liabilities:</w:t>
            </w:r>
          </w:p>
        </w:tc>
        <w:tc>
          <w:tcPr>
            <w:tcW w:w="140" w:type="dxa"/>
            <w:vAlign w:val="bottom"/>
            <w:shd w:val="clear" w:color="auto" w:fill="C0C0C0"/>
          </w:tcPr>
          <w:p>
            <w:pPr>
              <w:spacing w:after="0"/>
              <w:rPr>
                <w:sz w:val="21"/>
                <w:szCs w:val="21"/>
                <w:color w:val="auto"/>
              </w:rPr>
            </w:pPr>
          </w:p>
        </w:tc>
        <w:tc>
          <w:tcPr>
            <w:tcW w:w="108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96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08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960" w:type="dxa"/>
            <w:vAlign w:val="bottom"/>
            <w:shd w:val="clear" w:color="auto" w:fill="C0C0C0"/>
          </w:tcPr>
          <w:p>
            <w:pPr>
              <w:spacing w:after="0"/>
              <w:rPr>
                <w:sz w:val="21"/>
                <w:szCs w:val="21"/>
                <w:color w:val="auto"/>
              </w:rPr>
            </w:pPr>
          </w:p>
        </w:tc>
      </w:tr>
      <w:tr>
        <w:trPr>
          <w:trHeight w:val="235"/>
        </w:trPr>
        <w:tc>
          <w:tcPr>
            <w:tcW w:w="6280" w:type="dxa"/>
            <w:vAlign w:val="bottom"/>
          </w:tcPr>
          <w:p>
            <w:pPr>
              <w:ind w:left="280"/>
              <w:spacing w:after="0"/>
              <w:rPr>
                <w:sz w:val="20"/>
                <w:szCs w:val="20"/>
                <w:color w:val="auto"/>
              </w:rPr>
            </w:pPr>
            <w:r>
              <w:rPr>
                <w:rFonts w:ascii="Arial" w:cs="Arial" w:eastAsia="Arial" w:hAnsi="Arial"/>
                <w:sz w:val="18"/>
                <w:szCs w:val="18"/>
                <w:color w:val="auto"/>
              </w:rPr>
              <w:t>Deposits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605,039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605,382</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621,961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622,173</w:t>
            </w:r>
          </w:p>
        </w:tc>
      </w:tr>
      <w:tr>
        <w:trPr>
          <w:trHeight w:val="251"/>
        </w:trPr>
        <w:tc>
          <w:tcPr>
            <w:tcW w:w="6280" w:type="dxa"/>
            <w:vAlign w:val="bottom"/>
            <w:shd w:val="clear" w:color="auto" w:fill="C0C0C0"/>
          </w:tcPr>
          <w:p>
            <w:pPr>
              <w:ind w:left="280"/>
              <w:spacing w:after="0"/>
              <w:rPr>
                <w:sz w:val="20"/>
                <w:szCs w:val="20"/>
                <w:color w:val="auto"/>
              </w:rPr>
            </w:pPr>
            <w:r>
              <w:rPr>
                <w:rFonts w:ascii="Arial" w:cs="Arial" w:eastAsia="Arial" w:hAnsi="Arial"/>
                <w:sz w:val="18"/>
                <w:szCs w:val="18"/>
                <w:color w:val="auto"/>
              </w:rPr>
              <w:t>Accounts and drafts payable</w:t>
            </w:r>
          </w:p>
        </w:tc>
        <w:tc>
          <w:tcPr>
            <w:tcW w:w="140" w:type="dxa"/>
            <w:vAlign w:val="bottom"/>
            <w:shd w:val="clear" w:color="auto" w:fill="C0C0C0"/>
          </w:tcPr>
          <w:p>
            <w:pPr>
              <w:spacing w:after="0"/>
              <w:rPr>
                <w:sz w:val="21"/>
                <w:szCs w:val="21"/>
                <w:color w:val="auto"/>
              </w:rPr>
            </w:pPr>
          </w:p>
        </w:tc>
        <w:tc>
          <w:tcPr>
            <w:tcW w:w="10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729,403</w:t>
            </w:r>
          </w:p>
        </w:tc>
        <w:tc>
          <w:tcPr>
            <w:tcW w:w="260" w:type="dxa"/>
            <w:vAlign w:val="bottom"/>
            <w:shd w:val="clear" w:color="auto" w:fill="C0C0C0"/>
          </w:tcPr>
          <w:p>
            <w:pPr>
              <w:spacing w:after="0"/>
              <w:rPr>
                <w:sz w:val="21"/>
                <w:szCs w:val="21"/>
                <w:color w:val="auto"/>
              </w:rPr>
            </w:pPr>
          </w:p>
        </w:tc>
        <w:tc>
          <w:tcPr>
            <w:tcW w:w="110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729,403</w:t>
            </w:r>
          </w:p>
        </w:tc>
        <w:tc>
          <w:tcPr>
            <w:tcW w:w="1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0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642,287</w:t>
            </w:r>
          </w:p>
        </w:tc>
        <w:tc>
          <w:tcPr>
            <w:tcW w:w="260" w:type="dxa"/>
            <w:vAlign w:val="bottom"/>
            <w:shd w:val="clear" w:color="auto" w:fill="C0C0C0"/>
          </w:tcPr>
          <w:p>
            <w:pPr>
              <w:spacing w:after="0"/>
              <w:rPr>
                <w:sz w:val="21"/>
                <w:szCs w:val="21"/>
                <w:color w:val="auto"/>
              </w:rPr>
            </w:pPr>
          </w:p>
        </w:tc>
        <w:tc>
          <w:tcPr>
            <w:tcW w:w="9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642,287</w:t>
            </w:r>
          </w:p>
        </w:tc>
      </w:tr>
      <w:tr>
        <w:trPr>
          <w:trHeight w:val="237"/>
        </w:trPr>
        <w:tc>
          <w:tcPr>
            <w:tcW w:w="628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Accrued interest payable</w:t>
            </w: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41</w:t>
            </w: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46</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r>
      <w:tr>
        <w:trPr>
          <w:trHeight w:val="237"/>
        </w:trPr>
        <w:tc>
          <w:tcPr>
            <w:tcW w:w="6280" w:type="dxa"/>
            <w:vAlign w:val="bottom"/>
            <w:tcBorders>
              <w:bottom w:val="single" w:sz="8" w:color="auto"/>
            </w:tcBorders>
            <w:shd w:val="clear" w:color="auto" w:fill="C0C0C0"/>
          </w:tcPr>
          <w:p>
            <w:pPr>
              <w:ind w:left="5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1,334,483</w:t>
            </w:r>
          </w:p>
        </w:tc>
        <w:tc>
          <w:tcPr>
            <w:tcW w:w="2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1,334,826</w:t>
            </w:r>
          </w:p>
        </w:tc>
        <w:tc>
          <w:tcPr>
            <w:tcW w:w="260" w:type="dxa"/>
            <w:vAlign w:val="bottom"/>
            <w:tcBorders>
              <w:bottom w:val="single" w:sz="8" w:color="auto"/>
            </w:tcBorders>
            <w:gridSpan w:val="2"/>
            <w:shd w:val="clear" w:color="auto" w:fill="C0C0C0"/>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1,264,294</w:t>
            </w:r>
          </w:p>
        </w:tc>
        <w:tc>
          <w:tcPr>
            <w:tcW w:w="2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1,264,506</w:t>
            </w:r>
          </w:p>
        </w:tc>
      </w:tr>
    </w:tbl>
    <w:p>
      <w:pPr>
        <w:spacing w:after="0" w:line="20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following methods and assumptions were used to estimate the fair value of each class of financial instruments for which it is practicable to estimate that value: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Cash and Cash Equivalents – </w:t>
      </w:r>
      <w:r>
        <w:rPr>
          <w:rFonts w:ascii="Arial" w:cs="Arial" w:eastAsia="Arial" w:hAnsi="Arial"/>
          <w:sz w:val="18"/>
          <w:szCs w:val="18"/>
          <w:color w:val="auto"/>
        </w:rPr>
        <w:t>The carrying amount approximates fair value.</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 xml:space="preserve">Investment in Securities – </w:t>
      </w:r>
      <w:r>
        <w:rPr>
          <w:rFonts w:ascii="Arial" w:cs="Arial" w:eastAsia="Arial" w:hAnsi="Arial"/>
          <w:sz w:val="18"/>
          <w:szCs w:val="18"/>
          <w:color w:val="auto"/>
        </w:rPr>
        <w:t>The fair value is measured on a recurring basis using Level 2 valuations. Refer to Note 11, “Investment in Securities,” for fair value</w:t>
      </w:r>
      <w:r>
        <w:rPr>
          <w:rFonts w:ascii="Arial" w:cs="Arial" w:eastAsia="Arial" w:hAnsi="Arial"/>
          <w:sz w:val="18"/>
          <w:szCs w:val="18"/>
          <w:b w:val="1"/>
          <w:bCs w:val="1"/>
          <w:color w:val="auto"/>
        </w:rPr>
        <w:t xml:space="preserve"> </w:t>
      </w:r>
      <w:r>
        <w:rPr>
          <w:rFonts w:ascii="Arial" w:cs="Arial" w:eastAsia="Arial" w:hAnsi="Arial"/>
          <w:sz w:val="18"/>
          <w:szCs w:val="18"/>
          <w:color w:val="auto"/>
        </w:rPr>
        <w:t>and unrealized gains and losses by investment type.</w:t>
      </w:r>
    </w:p>
    <w:p>
      <w:pPr>
        <w:spacing w:after="0" w:line="1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Loans – </w:t>
      </w:r>
      <w:r>
        <w:rPr>
          <w:rFonts w:ascii="Arial" w:cs="Arial" w:eastAsia="Arial" w:hAnsi="Arial"/>
          <w:sz w:val="18"/>
          <w:szCs w:val="18"/>
          <w:color w:val="auto"/>
        </w:rPr>
        <w:t>The fair value is estimated using present values of future cash flows discounted at risk-adjusted interest rates for each loan category designated by</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 and is therefore a Level 3 valuation. Management believes that the risk factor embedded in the interest rates along with the allowance for loan losses result in a fair valuation.</w:t>
      </w:r>
    </w:p>
    <w:p>
      <w:pPr>
        <w:spacing w:after="0" w:line="19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Impaired loans are valued using the expected cash flow method or fair value of the collateral which is based upon an observable market price or a current appraised value and therefore, the fair value is a nonrecurring Level 3 valuation.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Accrued Interest Receivable – </w:t>
      </w:r>
      <w:r>
        <w:rPr>
          <w:rFonts w:ascii="Arial" w:cs="Arial" w:eastAsia="Arial" w:hAnsi="Arial"/>
          <w:sz w:val="18"/>
          <w:szCs w:val="18"/>
          <w:color w:val="auto"/>
        </w:rPr>
        <w:t>The carrying amount approximates fair value.</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b w:val="1"/>
          <w:bCs w:val="1"/>
          <w:color w:val="auto"/>
        </w:rPr>
        <w:t xml:space="preserve">Deposits – </w:t>
      </w:r>
      <w:r>
        <w:rPr>
          <w:rFonts w:ascii="Arial" w:cs="Arial" w:eastAsia="Arial" w:hAnsi="Arial"/>
          <w:sz w:val="16"/>
          <w:szCs w:val="16"/>
          <w:color w:val="auto"/>
        </w:rPr>
        <w:t>The fair value of demand deposits, savings deposits and certain money market deposits is the amount payable on demand at the reporting date. The</w:t>
      </w:r>
      <w:r>
        <w:rPr>
          <w:rFonts w:ascii="Arial" w:cs="Arial" w:eastAsia="Arial" w:hAnsi="Arial"/>
          <w:sz w:val="16"/>
          <w:szCs w:val="16"/>
          <w:b w:val="1"/>
          <w:bCs w:val="1"/>
          <w:color w:val="auto"/>
        </w:rPr>
        <w:t xml:space="preserve"> </w:t>
      </w:r>
      <w:r>
        <w:rPr>
          <w:rFonts w:ascii="Arial" w:cs="Arial" w:eastAsia="Arial" w:hAnsi="Arial"/>
          <w:sz w:val="16"/>
          <w:szCs w:val="16"/>
          <w:color w:val="auto"/>
        </w:rPr>
        <w:t>fair value of fixed-maturity certificates of deposit is estimated using the rates currently offered for deposits of similar remaining maturities and therefore, is a Level 2 valuation. The fair value estimates above do not include the benefit that results from the low-cost funding provided by the deposit liabilities compared to the cost of borrowing funds in the market or the benefit derived from the customer relationship inherent in existing deposits.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Accounts and Drafts Payable – </w:t>
      </w:r>
      <w:r>
        <w:rPr>
          <w:rFonts w:ascii="Arial" w:cs="Arial" w:eastAsia="Arial" w:hAnsi="Arial"/>
          <w:sz w:val="18"/>
          <w:szCs w:val="18"/>
          <w:color w:val="auto"/>
        </w:rPr>
        <w:t>The carrying amount approximates fair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Accrued Interest – </w:t>
      </w:r>
      <w:r>
        <w:rPr>
          <w:rFonts w:ascii="Arial" w:cs="Arial" w:eastAsia="Arial" w:hAnsi="Arial"/>
          <w:sz w:val="18"/>
          <w:szCs w:val="18"/>
          <w:color w:val="auto"/>
        </w:rPr>
        <w:t>The carrying amount approximates fair value.</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There were no transfers between Levels 1 and 2 of the fair value hierarchy for the six months ended June 30, 2017 and 2016. No financial instruments are measured using Level 3 inputs for the six months ended June 30, 2017 and 2016.</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Note 13 – Subsequent Events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accordance with FASB ASC 855, “Subsequent Events,” the Company has evaluated subsequent events after the consolidated balance sheet date of June 30, 2017, and there were no events identified that would require additional disclosures to prevent the Company’s unaudited consolidated financial statements from being misleading.</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Cass provides payment and information processing services to large manufacturing, distribution and retail enterprises from its offices/locations in St. Louis, Missouri, Columbus, Ohio, Boston, Massachusetts, Greenville, South Carolina, Wellington, Kansas, Jacksonville, Florida, and Breda, Netherlands. The Company’s services include freight invoice rating, payment processing, auditing, and the generation of accounting and transportation information. Cass also processes and pays energy invoices, which include electricity and gas as well as environmental and telecommunications expense and is a provider of telecom expense management solutions. Cass extracts, stores, and presents information from transportation, energy, telecommunication and environmental invoices, assisting its customers’ transportation, energy, environmental and information technology managers in making decisions that will enable them to improve operating performance. The Company receives data from multiple sources, electronic and otherwise, and processes the data to accomplish the specific operating requirements of its customers. It then provides the data in a central repository for access and archiving. The data is finally transformed into information through the Company’s databases that allow client interaction as required and provide Internet-based tools for analytical processing. The Company also, through Cass Commercial Bank, its St. Louis, Missouri-based bank subsidiary provides banking services in the St. Louis metropolitan, Orange County, California, Colorado Springs, Colorado, and other selected cities in the United States. In addition to supporting the Company’s payment operations, the Bank provides banking services to its target markets, which include privately-owned businesses and churches and church-related ministries.</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specific payment and information processing services provided to each customer are developed individually to meet each customer’s requirements, which can vary greatly. In addition, the degree of automation such as electronic data interchange, imaging, work flow, and web-based solutions varies greatly among customers and industries. These factors combine so that pricing varies greatly among the customer base. In general, however, Cass is compensated for its processing services through service fees and investment of account balances generated during the payment process. The amount, type, and calculation of service fees vary greatly by service offering, but generally follow the volume of transactions processed. Interest income from the balances generated during the payment processing cycle is affected by the amount of time Cass holds the funds prior to payment and the dollar volume processed. Both the number of transactions processed and the dollar volume processed are therefore key metrics followed by management. Other factors will also influence revenue and profitability, such as changes in the general level of interest rates, which have a significant effect on net interest income. The funds generated by these processing activities are invested in overnight investments, investment grade securities, and loans generated by the Bank. The Bank earns most of its revenue from net interest income, or the difference between the interest earned on its loans and investments and the interest paid on its deposits and other borrowings. The Bank also assesses fees on other services such as cash management services.</w:t>
      </w:r>
    </w:p>
    <w:p>
      <w:pPr>
        <w:spacing w:after="0" w:line="18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Industry-wide factors that impact the Company include the willingness of large corporations to outsource key business functions such as freight, energy, telecommunication and environmental payment and audit. The benefits that can be achieved by outsourcing transaction processing, and the management information generated by Cass’ systems can be influenced by factors such as the competitive pressures within industries to improve profitability, the general level of transportation costs, deregulation of energy costs, and consolidation of telecommunication providers. Economic factors that impact the Company include the general level of economic activity that can affect the volume and size of invoices processed, the ability to hire and retain qualified staff, and the growth and quality of the loan portfolio. The general level of interest rates also has a significant effect on the revenue of the Company. As discussed in greater detail in Item 7A, “Quantitative and Qualitative Disclosures about Market Risk,” in the Company’s 2016 Annual Report on Form 10-K, a decline in the general level of interest rates can have a negative impact on net interest income and conversely, a rise in the general level of interest rates can have a positive impact on net interest income.</w:t>
      </w:r>
    </w:p>
    <w:p>
      <w:pPr>
        <w:spacing w:after="0" w:line="3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Currently, management views Cass’ major opportunity as the continued expansion of its payment and information processing service offerings and customer base. Management intends to accomplish this by maintaining the Company’s leadership position in applied technology, which when combined with the security and processing controls of the Bank, makes Cass unique in the industry.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has prepared the consolidated financial statements in this report in accordance with the Financial Accounting Standards Board (“FASB”) Accounting Standards Codification (“ASC”). In preparing the consolidated financial statements, management makes estimates and assumptions that affect the reported amount of assets and liabilities, disclosure of contingent assets and liabilities at the date of the financial statements, and the reported amounts of revenue and expenses during the reporting period. These estimates have been generally accurate in the past, have been consistent and have not required any material changes. There can be no assurances that actual results will not differ from those estimates. Certain accounting policies that require significant management estimates and are deemed critical to the Company’s results of operations or financial position have been discussed with the Audit Committee of the Board of Directors and are described below.</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8" w:name="page19"/>
    <w:bookmarkEnd w:id="18"/>
    <w:p>
      <w:pPr>
        <w:jc w:val="both"/>
        <w:ind w:right="20"/>
        <w:spacing w:after="0" w:line="254" w:lineRule="auto"/>
        <w:rPr>
          <w:sz w:val="20"/>
          <w:szCs w:val="20"/>
          <w:color w:val="auto"/>
        </w:rPr>
      </w:pPr>
      <w:r>
        <w:rPr>
          <w:rFonts w:ascii="Arial" w:cs="Arial" w:eastAsia="Arial" w:hAnsi="Arial"/>
          <w:sz w:val="18"/>
          <w:szCs w:val="18"/>
          <w:i w:val="1"/>
          <w:iCs w:val="1"/>
          <w:color w:val="auto"/>
        </w:rPr>
        <w:t xml:space="preserve">Allowance for Loan Losses. </w:t>
      </w:r>
      <w:r>
        <w:rPr>
          <w:rFonts w:ascii="Arial" w:cs="Arial" w:eastAsia="Arial" w:hAnsi="Arial"/>
          <w:sz w:val="18"/>
          <w:szCs w:val="18"/>
          <w:color w:val="auto"/>
        </w:rPr>
        <w:t>The Company performs periodic and systematic detailed reviews of its loan portfolio to assess overall collectability. The level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allowance for loan losses reflects management’s estimate of the collectability of the loan portfolio. Although these estimates are based on established methodologies for determining allowance requirements, actual results can differ significantly from estimated results. These policies affect both segments of the Company. The impact and associated risks related to these policies on the Company’s business operations are discussed in the “Provision and Allowance for Loan Losses” section of this report. The Company’s estimates have been materially accurate in the past, and accordingly, the Company expects to continue to utilize the present processes.</w:t>
      </w:r>
    </w:p>
    <w:p>
      <w:pPr>
        <w:spacing w:after="0" w:line="198"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The objectives of accounting for income taxes are to recognize the amount of taxes payable or refundable for the current year and deferred tax</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liabilities and assets for the future tax consequences of events that have been recognized in an entity's financial statements or tax returns. Judgment is required in addressing the future tax consequences of events that have been recognized in the Company’s financial statements or tax returns such as the realization of deferred tax assets or changes in tax laws or interpretations thereof. In addition, the Company is subject to the continuous examination of its income tax returns by the Internal Revenue Service and other taxing authorities. In accordance with FASB ASC 740, “Income Taxes,” the Company has unrecognized tax benefits related to tax positions taken or expected to be taken. See Note 10 to the unaudited consolidated financial statements contained herein.</w:t>
      </w:r>
    </w:p>
    <w:p>
      <w:pPr>
        <w:spacing w:after="0" w:line="174" w:lineRule="exact"/>
        <w:rPr>
          <w:sz w:val="20"/>
          <w:szCs w:val="20"/>
          <w:color w:val="auto"/>
        </w:rPr>
      </w:pPr>
    </w:p>
    <w:p>
      <w:pPr>
        <w:jc w:val="both"/>
        <w:ind w:right="20"/>
        <w:spacing w:after="0" w:line="290" w:lineRule="auto"/>
        <w:rPr>
          <w:sz w:val="20"/>
          <w:szCs w:val="20"/>
          <w:color w:val="auto"/>
        </w:rPr>
      </w:pPr>
      <w:r>
        <w:rPr>
          <w:rFonts w:ascii="Arial" w:cs="Arial" w:eastAsia="Arial" w:hAnsi="Arial"/>
          <w:sz w:val="16"/>
          <w:szCs w:val="16"/>
          <w:i w:val="1"/>
          <w:iCs w:val="1"/>
          <w:color w:val="auto"/>
        </w:rPr>
        <w:t xml:space="preserve">Pension Plans. </w:t>
      </w:r>
      <w:r>
        <w:rPr>
          <w:rFonts w:ascii="Arial" w:cs="Arial" w:eastAsia="Arial" w:hAnsi="Arial"/>
          <w:sz w:val="16"/>
          <w:szCs w:val="16"/>
          <w:color w:val="auto"/>
        </w:rPr>
        <w:t>The amounts recognized in the unaudited consolidated financial statements related to pension plans are determined from actuarial valuations.</w:t>
      </w:r>
      <w:r>
        <w:rPr>
          <w:rFonts w:ascii="Arial" w:cs="Arial" w:eastAsia="Arial" w:hAnsi="Arial"/>
          <w:sz w:val="16"/>
          <w:szCs w:val="16"/>
          <w:i w:val="1"/>
          <w:iCs w:val="1"/>
          <w:color w:val="auto"/>
        </w:rPr>
        <w:t xml:space="preserve"> </w:t>
      </w:r>
      <w:r>
        <w:rPr>
          <w:rFonts w:ascii="Arial" w:cs="Arial" w:eastAsia="Arial" w:hAnsi="Arial"/>
          <w:sz w:val="16"/>
          <w:szCs w:val="16"/>
          <w:color w:val="auto"/>
        </w:rPr>
        <w:t>Inherent in these valuations are assumptions, including expected return on plan assets, discount rates at which the liabilities could be settled at December 31, 2016, rate of increase in future compensation levels and mortality rates. These assumptions are updated annually and are disclosed in Item 8, Note 10 to the consolidated financial statements filed with the Company’s Annual Report on Form 10-K for the year ended December 31, 2016. Pursuant to FASB ASC 715, “Compensation – Retirement Benefits,” the Company has recognized the funded status of its defined benefit postretirement plan in its balance sheet and has recognized changes in that funded status through comprehensive income. The funded status is measured as the difference between the fair value of the plan assets and the projected benefit obligation as of the date of its fiscal year-end.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The following paragraphs more fully discuss the results of operations and changes in financial condition for the three-month period ended June 30, 2017 (“Second Quarter of 2017”) compared to the three-month period ended June 30, 2016 (“Second Quarter of 2016”) and the six-month period ended June 30, 2017 (“First Half of 2017”) compared to the six-month period ended June 30, 2016 (“First Half of 2016”). The following discussion and analysis should be read in conjunction with the unaudited consolidated financial statements and related notes and with the statistical information and financial data appearing in this report, as well as in the Company’s 2016 Annual Report on Form 10-K. Results of operations for the Second Quarter and First Half of 2017 are not necessarily indicative of the results to be attained for any other period.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6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32"/>
        </w:trPr>
        <w:tc>
          <w:tcPr>
            <w:tcW w:w="5060" w:type="dxa"/>
            <w:vAlign w:val="bottom"/>
          </w:tcPr>
          <w:p>
            <w:pPr>
              <w:spacing w:after="0"/>
              <w:rPr>
                <w:sz w:val="20"/>
                <w:szCs w:val="20"/>
                <w:color w:val="auto"/>
              </w:rPr>
            </w:pPr>
            <w:r>
              <w:rPr>
                <w:rFonts w:ascii="Arial" w:cs="Arial" w:eastAsia="Arial" w:hAnsi="Arial"/>
                <w:sz w:val="18"/>
                <w:szCs w:val="18"/>
                <w:color w:val="auto"/>
                <w:w w:val="97"/>
              </w:rPr>
              <w:t>The following table summarizes the Company’s operating results</w:t>
            </w:r>
            <w:r>
              <w:rPr>
                <w:rFonts w:ascii="Arial" w:cs="Arial" w:eastAsia="Arial" w:hAnsi="Arial"/>
                <w:sz w:val="13"/>
                <w:szCs w:val="13"/>
                <w:color w:val="auto"/>
                <w:w w:val="97"/>
              </w:rPr>
              <w:t>:</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5"/>
        </w:trPr>
        <w:tc>
          <w:tcPr>
            <w:tcW w:w="50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8"/>
                <w:szCs w:val="18"/>
                <w:b w:val="1"/>
                <w:bCs w:val="1"/>
                <w:color w:val="auto"/>
              </w:rPr>
              <w:t>Second Quarter of</w:t>
            </w:r>
          </w:p>
        </w:tc>
        <w:tc>
          <w:tcPr>
            <w:tcW w:w="68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jc w:val="right"/>
              <w:ind w:right="292"/>
              <w:spacing w:after="0"/>
              <w:rPr>
                <w:sz w:val="20"/>
                <w:szCs w:val="20"/>
                <w:color w:val="auto"/>
              </w:rPr>
            </w:pPr>
            <w:r>
              <w:rPr>
                <w:rFonts w:ascii="Arial" w:cs="Arial" w:eastAsia="Arial" w:hAnsi="Arial"/>
                <w:sz w:val="18"/>
                <w:szCs w:val="18"/>
                <w:b w:val="1"/>
                <w:bCs w:val="1"/>
                <w:color w:val="auto"/>
                <w:w w:val="95"/>
              </w:rPr>
              <w:t>First Half of</w:t>
            </w:r>
          </w:p>
        </w:tc>
        <w:tc>
          <w:tcPr>
            <w:tcW w:w="7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5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80" w:type="dxa"/>
            <w:vAlign w:val="bottom"/>
          </w:tcPr>
          <w:p>
            <w:pPr>
              <w:jc w:val="right"/>
              <w:ind w:right="112"/>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jc w:val="right"/>
              <w:ind w:right="112"/>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r>
      <w:tr>
        <w:trPr>
          <w:trHeight w:val="265"/>
        </w:trPr>
        <w:tc>
          <w:tcPr>
            <w:tcW w:w="5060" w:type="dxa"/>
            <w:vAlign w:val="bottom"/>
          </w:tcPr>
          <w:p>
            <w:pPr>
              <w:spacing w:after="0"/>
              <w:rPr>
                <w:sz w:val="20"/>
                <w:szCs w:val="20"/>
                <w:color w:val="auto"/>
              </w:rPr>
            </w:pPr>
            <w:r>
              <w:rPr>
                <w:rFonts w:ascii="Arial" w:cs="Arial" w:eastAsia="Arial" w:hAnsi="Arial"/>
                <w:sz w:val="18"/>
                <w:szCs w:val="18"/>
                <w:b w:val="1"/>
                <w:bCs w:val="1"/>
                <w:i w:val="1"/>
                <w:iCs w:val="1"/>
                <w:color w:val="auto"/>
              </w:rPr>
              <w:t>(In thousands except per share data)</w:t>
            </w:r>
          </w:p>
        </w:tc>
        <w:tc>
          <w:tcPr>
            <w:tcW w:w="180" w:type="dxa"/>
            <w:vAlign w:val="bottom"/>
          </w:tcPr>
          <w:p>
            <w:pPr>
              <w:spacing w:after="0"/>
              <w:rPr>
                <w:sz w:val="23"/>
                <w:szCs w:val="23"/>
                <w:color w:val="auto"/>
              </w:rPr>
            </w:pPr>
          </w:p>
        </w:tc>
        <w:tc>
          <w:tcPr>
            <w:tcW w:w="880" w:type="dxa"/>
            <w:vAlign w:val="bottom"/>
          </w:tcPr>
          <w:p>
            <w:pPr>
              <w:jc w:val="right"/>
              <w:ind w:right="332"/>
              <w:spacing w:after="0"/>
              <w:rPr>
                <w:sz w:val="20"/>
                <w:szCs w:val="20"/>
                <w:color w:val="auto"/>
              </w:rPr>
            </w:pPr>
            <w:r>
              <w:rPr>
                <w:rFonts w:ascii="Arial" w:cs="Arial" w:eastAsia="Arial" w:hAnsi="Arial"/>
                <w:sz w:val="18"/>
                <w:szCs w:val="18"/>
                <w:b w:val="1"/>
                <w:bCs w:val="1"/>
                <w:color w:val="auto"/>
              </w:rPr>
              <w:t>2017</w:t>
            </w:r>
          </w:p>
        </w:tc>
        <w:tc>
          <w:tcPr>
            <w:tcW w:w="320" w:type="dxa"/>
            <w:vAlign w:val="bottom"/>
          </w:tcPr>
          <w:p>
            <w:pPr>
              <w:spacing w:after="0"/>
              <w:rPr>
                <w:sz w:val="23"/>
                <w:szCs w:val="23"/>
                <w:color w:val="auto"/>
              </w:rPr>
            </w:pPr>
          </w:p>
        </w:tc>
        <w:tc>
          <w:tcPr>
            <w:tcW w:w="900" w:type="dxa"/>
            <w:vAlign w:val="bottom"/>
          </w:tcPr>
          <w:p>
            <w:pPr>
              <w:jc w:val="right"/>
              <w:ind w:right="372"/>
              <w:spacing w:after="0"/>
              <w:rPr>
                <w:sz w:val="20"/>
                <w:szCs w:val="20"/>
                <w:color w:val="auto"/>
              </w:rPr>
            </w:pPr>
            <w:r>
              <w:rPr>
                <w:rFonts w:ascii="Arial" w:cs="Arial" w:eastAsia="Arial" w:hAnsi="Arial"/>
                <w:sz w:val="18"/>
                <w:szCs w:val="18"/>
                <w:b w:val="1"/>
                <w:bCs w:val="1"/>
                <w:color w:val="auto"/>
              </w:rPr>
              <w:t>2016</w:t>
            </w:r>
          </w:p>
        </w:tc>
        <w:tc>
          <w:tcPr>
            <w:tcW w:w="940" w:type="dxa"/>
            <w:vAlign w:val="bottom"/>
            <w:gridSpan w:val="2"/>
          </w:tcPr>
          <w:p>
            <w:pPr>
              <w:ind w:left="100"/>
              <w:spacing w:after="0"/>
              <w:rPr>
                <w:sz w:val="20"/>
                <w:szCs w:val="20"/>
                <w:color w:val="auto"/>
              </w:rPr>
            </w:pPr>
            <w:r>
              <w:rPr>
                <w:rFonts w:ascii="Arial" w:cs="Arial" w:eastAsia="Arial" w:hAnsi="Arial"/>
                <w:sz w:val="18"/>
                <w:szCs w:val="18"/>
                <w:b w:val="1"/>
                <w:bCs w:val="1"/>
                <w:color w:val="auto"/>
              </w:rPr>
              <w:t>Change</w:t>
            </w:r>
          </w:p>
        </w:tc>
        <w:tc>
          <w:tcPr>
            <w:tcW w:w="220" w:type="dxa"/>
            <w:vAlign w:val="bottom"/>
          </w:tcPr>
          <w:p>
            <w:pPr>
              <w:spacing w:after="0"/>
              <w:rPr>
                <w:sz w:val="23"/>
                <w:szCs w:val="23"/>
                <w:color w:val="auto"/>
              </w:rPr>
            </w:pPr>
          </w:p>
        </w:tc>
        <w:tc>
          <w:tcPr>
            <w:tcW w:w="840" w:type="dxa"/>
            <w:vAlign w:val="bottom"/>
          </w:tcPr>
          <w:p>
            <w:pPr>
              <w:jc w:val="right"/>
              <w:ind w:right="292"/>
              <w:spacing w:after="0"/>
              <w:rPr>
                <w:sz w:val="20"/>
                <w:szCs w:val="20"/>
                <w:color w:val="auto"/>
              </w:rPr>
            </w:pPr>
            <w:r>
              <w:rPr>
                <w:rFonts w:ascii="Arial" w:cs="Arial" w:eastAsia="Arial" w:hAnsi="Arial"/>
                <w:sz w:val="18"/>
                <w:szCs w:val="18"/>
                <w:b w:val="1"/>
                <w:bCs w:val="1"/>
                <w:color w:val="auto"/>
              </w:rPr>
              <w:t>2017</w:t>
            </w:r>
          </w:p>
        </w:tc>
        <w:tc>
          <w:tcPr>
            <w:tcW w:w="400" w:type="dxa"/>
            <w:vAlign w:val="bottom"/>
          </w:tcPr>
          <w:p>
            <w:pPr>
              <w:spacing w:after="0"/>
              <w:rPr>
                <w:sz w:val="23"/>
                <w:szCs w:val="23"/>
                <w:color w:val="auto"/>
              </w:rPr>
            </w:pPr>
          </w:p>
        </w:tc>
        <w:tc>
          <w:tcPr>
            <w:tcW w:w="960" w:type="dxa"/>
            <w:vAlign w:val="bottom"/>
          </w:tcPr>
          <w:p>
            <w:pPr>
              <w:jc w:val="right"/>
              <w:ind w:right="412"/>
              <w:spacing w:after="0"/>
              <w:rPr>
                <w:sz w:val="20"/>
                <w:szCs w:val="20"/>
                <w:color w:val="auto"/>
              </w:rPr>
            </w:pPr>
            <w:r>
              <w:rPr>
                <w:rFonts w:ascii="Arial" w:cs="Arial" w:eastAsia="Arial" w:hAnsi="Arial"/>
                <w:sz w:val="18"/>
                <w:szCs w:val="18"/>
                <w:b w:val="1"/>
                <w:bCs w:val="1"/>
                <w:color w:val="auto"/>
              </w:rPr>
              <w:t>2016</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Change</w:t>
            </w:r>
          </w:p>
        </w:tc>
      </w:tr>
      <w:tr>
        <w:trPr>
          <w:trHeight w:val="243"/>
        </w:trPr>
        <w:tc>
          <w:tcPr>
            <w:tcW w:w="506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8"/>
                <w:szCs w:val="18"/>
                <w:color w:val="auto"/>
              </w:rPr>
              <w:t>Net income</w:t>
            </w:r>
          </w:p>
        </w:tc>
        <w:tc>
          <w:tcPr>
            <w:tcW w:w="180" w:type="dxa"/>
            <w:vAlign w:val="bottom"/>
            <w:tcBorders>
              <w:top w:val="single" w:sz="8" w:color="auto"/>
            </w:tcBorders>
            <w:shd w:val="clear" w:color="auto" w:fill="C0C0C0"/>
          </w:tcPr>
          <w:p>
            <w:pPr>
              <w:jc w:val="right"/>
              <w:ind w:right="2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0C0C0"/>
          </w:tcPr>
          <w:p>
            <w:pPr>
              <w:jc w:val="right"/>
              <w:ind w:right="212"/>
              <w:spacing w:after="0"/>
              <w:rPr>
                <w:sz w:val="20"/>
                <w:szCs w:val="20"/>
                <w:color w:val="auto"/>
              </w:rPr>
            </w:pPr>
            <w:r>
              <w:rPr>
                <w:rFonts w:ascii="Arial" w:cs="Arial" w:eastAsia="Arial" w:hAnsi="Arial"/>
                <w:sz w:val="18"/>
                <w:szCs w:val="18"/>
                <w:color w:val="auto"/>
              </w:rPr>
              <w:t>6,513</w:t>
            </w:r>
          </w:p>
        </w:tc>
        <w:tc>
          <w:tcPr>
            <w:tcW w:w="320" w:type="dxa"/>
            <w:vAlign w:val="bottom"/>
            <w:tcBorders>
              <w:top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0C0C0"/>
          </w:tcPr>
          <w:p>
            <w:pPr>
              <w:jc w:val="right"/>
              <w:ind w:right="232"/>
              <w:spacing w:after="0"/>
              <w:rPr>
                <w:sz w:val="20"/>
                <w:szCs w:val="20"/>
                <w:color w:val="auto"/>
              </w:rPr>
            </w:pPr>
            <w:r>
              <w:rPr>
                <w:rFonts w:ascii="Arial" w:cs="Arial" w:eastAsia="Arial" w:hAnsi="Arial"/>
                <w:sz w:val="18"/>
                <w:szCs w:val="18"/>
                <w:color w:val="auto"/>
              </w:rPr>
              <w:t>5,869</w:t>
            </w:r>
          </w:p>
        </w:tc>
        <w:tc>
          <w:tcPr>
            <w:tcW w:w="68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11.0</w:t>
            </w:r>
          </w:p>
        </w:tc>
        <w:tc>
          <w:tcPr>
            <w:tcW w:w="260" w:type="dxa"/>
            <w:vAlign w:val="bottom"/>
            <w:tcBorders>
              <w:top w:val="single" w:sz="8" w:color="auto"/>
            </w:tcBorders>
            <w:shd w:val="clear" w:color="auto" w:fill="C0C0C0"/>
          </w:tcPr>
          <w:p>
            <w:pPr>
              <w:spacing w:after="0"/>
              <w:rPr>
                <w:sz w:val="21"/>
                <w:szCs w:val="21"/>
                <w:color w:val="auto"/>
              </w:rPr>
            </w:pPr>
          </w:p>
        </w:tc>
        <w:tc>
          <w:tcPr>
            <w:tcW w:w="220" w:type="dxa"/>
            <w:vAlign w:val="bottom"/>
            <w:tcBorders>
              <w:top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0C0C0"/>
          </w:tcPr>
          <w:p>
            <w:pPr>
              <w:jc w:val="right"/>
              <w:ind w:right="92"/>
              <w:spacing w:after="0"/>
              <w:rPr>
                <w:sz w:val="20"/>
                <w:szCs w:val="20"/>
                <w:color w:val="auto"/>
              </w:rPr>
            </w:pPr>
            <w:r>
              <w:rPr>
                <w:rFonts w:ascii="Arial" w:cs="Arial" w:eastAsia="Arial" w:hAnsi="Arial"/>
                <w:sz w:val="18"/>
                <w:szCs w:val="18"/>
                <w:color w:val="auto"/>
              </w:rPr>
              <w:t>12,820</w:t>
            </w:r>
          </w:p>
        </w:tc>
        <w:tc>
          <w:tcPr>
            <w:tcW w:w="40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0C0C0"/>
          </w:tcPr>
          <w:p>
            <w:pPr>
              <w:jc w:val="right"/>
              <w:ind w:right="192"/>
              <w:spacing w:after="0"/>
              <w:rPr>
                <w:sz w:val="20"/>
                <w:szCs w:val="20"/>
                <w:color w:val="auto"/>
              </w:rPr>
            </w:pPr>
            <w:r>
              <w:rPr>
                <w:rFonts w:ascii="Arial" w:cs="Arial" w:eastAsia="Arial" w:hAnsi="Arial"/>
                <w:sz w:val="18"/>
                <w:szCs w:val="18"/>
                <w:color w:val="auto"/>
              </w:rPr>
              <w:t>11,702</w:t>
            </w:r>
          </w:p>
        </w:tc>
        <w:tc>
          <w:tcPr>
            <w:tcW w:w="72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21"/>
                <w:szCs w:val="21"/>
                <w:color w:val="auto"/>
              </w:rPr>
            </w:pPr>
          </w:p>
        </w:tc>
      </w:tr>
      <w:tr>
        <w:trPr>
          <w:trHeight w:val="235"/>
        </w:trPr>
        <w:tc>
          <w:tcPr>
            <w:tcW w:w="506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212"/>
              <w:spacing w:after="0"/>
              <w:rPr>
                <w:sz w:val="20"/>
                <w:szCs w:val="20"/>
                <w:color w:val="auto"/>
              </w:rPr>
            </w:pPr>
            <w:r>
              <w:rPr>
                <w:rFonts w:ascii="Arial" w:cs="Arial" w:eastAsia="Arial" w:hAnsi="Arial"/>
                <w:sz w:val="18"/>
                <w:szCs w:val="18"/>
                <w:color w:val="auto"/>
              </w:rPr>
              <w:t>.58</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32"/>
              <w:spacing w:after="0"/>
              <w:rPr>
                <w:sz w:val="20"/>
                <w:szCs w:val="20"/>
                <w:color w:val="auto"/>
              </w:rPr>
            </w:pPr>
            <w:r>
              <w:rPr>
                <w:rFonts w:ascii="Arial" w:cs="Arial" w:eastAsia="Arial" w:hAnsi="Arial"/>
                <w:sz w:val="18"/>
                <w:szCs w:val="18"/>
                <w:color w:val="auto"/>
              </w:rPr>
              <w:t>.52</w:t>
            </w:r>
          </w:p>
        </w:tc>
        <w:tc>
          <w:tcPr>
            <w:tcW w:w="680" w:type="dxa"/>
            <w:vAlign w:val="bottom"/>
          </w:tcPr>
          <w:p>
            <w:pPr>
              <w:jc w:val="right"/>
              <w:spacing w:after="0"/>
              <w:rPr>
                <w:sz w:val="20"/>
                <w:szCs w:val="20"/>
                <w:color w:val="auto"/>
              </w:rPr>
            </w:pPr>
            <w:r>
              <w:rPr>
                <w:rFonts w:ascii="Arial" w:cs="Arial" w:eastAsia="Arial" w:hAnsi="Arial"/>
                <w:sz w:val="18"/>
                <w:szCs w:val="18"/>
                <w:color w:val="auto"/>
              </w:rPr>
              <w:t>11.5</w:t>
            </w:r>
          </w:p>
        </w:tc>
        <w:tc>
          <w:tcPr>
            <w:tcW w:w="260" w:type="dxa"/>
            <w:vAlign w:val="bottom"/>
          </w:tcPr>
          <w:p>
            <w:pPr>
              <w:spacing w:after="0"/>
              <w:rPr>
                <w:sz w:val="20"/>
                <w:szCs w:val="20"/>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92"/>
              <w:spacing w:after="0"/>
              <w:rPr>
                <w:sz w:val="20"/>
                <w:szCs w:val="20"/>
                <w:color w:val="auto"/>
              </w:rPr>
            </w:pPr>
            <w:r>
              <w:rPr>
                <w:rFonts w:ascii="Arial" w:cs="Arial" w:eastAsia="Arial" w:hAnsi="Arial"/>
                <w:sz w:val="18"/>
                <w:szCs w:val="18"/>
                <w:color w:val="auto"/>
              </w:rPr>
              <w:t>1.13</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92"/>
              <w:spacing w:after="0"/>
              <w:rPr>
                <w:sz w:val="20"/>
                <w:szCs w:val="20"/>
                <w:color w:val="auto"/>
              </w:rPr>
            </w:pPr>
            <w:r>
              <w:rPr>
                <w:rFonts w:ascii="Arial" w:cs="Arial" w:eastAsia="Arial" w:hAnsi="Arial"/>
                <w:sz w:val="18"/>
                <w:szCs w:val="18"/>
                <w:color w:val="auto"/>
              </w:rPr>
              <w:t>1.03</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9.7</w:t>
            </w:r>
          </w:p>
        </w:tc>
      </w:tr>
      <w:tr>
        <w:trPr>
          <w:trHeight w:val="251"/>
        </w:trPr>
        <w:tc>
          <w:tcPr>
            <w:tcW w:w="5060" w:type="dxa"/>
            <w:vAlign w:val="bottom"/>
            <w:shd w:val="clear" w:color="auto" w:fill="C0C0C0"/>
          </w:tcPr>
          <w:p>
            <w:pPr>
              <w:spacing w:after="0"/>
              <w:rPr>
                <w:sz w:val="20"/>
                <w:szCs w:val="20"/>
                <w:color w:val="auto"/>
              </w:rPr>
            </w:pPr>
            <w:r>
              <w:rPr>
                <w:rFonts w:ascii="Arial" w:cs="Arial" w:eastAsia="Arial" w:hAnsi="Arial"/>
                <w:sz w:val="18"/>
                <w:szCs w:val="18"/>
                <w:color w:val="auto"/>
              </w:rPr>
              <w:t>Return on average assets</w:t>
            </w:r>
          </w:p>
        </w:tc>
        <w:tc>
          <w:tcPr>
            <w:tcW w:w="180" w:type="dxa"/>
            <w:vAlign w:val="bottom"/>
            <w:shd w:val="clear" w:color="auto" w:fill="C0C0C0"/>
          </w:tcPr>
          <w:p>
            <w:pPr>
              <w:spacing w:after="0"/>
              <w:rPr>
                <w:sz w:val="21"/>
                <w:szCs w:val="21"/>
                <w:color w:val="auto"/>
              </w:rPr>
            </w:pPr>
          </w:p>
        </w:tc>
        <w:tc>
          <w:tcPr>
            <w:tcW w:w="8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1.70%</w:t>
            </w:r>
          </w:p>
        </w:tc>
        <w:tc>
          <w:tcPr>
            <w:tcW w:w="320" w:type="dxa"/>
            <w:vAlign w:val="bottom"/>
            <w:shd w:val="clear" w:color="auto" w:fill="C0C0C0"/>
          </w:tcPr>
          <w:p>
            <w:pPr>
              <w:spacing w:after="0"/>
              <w:rPr>
                <w:sz w:val="21"/>
                <w:szCs w:val="21"/>
                <w:color w:val="auto"/>
              </w:rPr>
            </w:pPr>
          </w:p>
        </w:tc>
        <w:tc>
          <w:tcPr>
            <w:tcW w:w="900" w:type="dxa"/>
            <w:vAlign w:val="bottom"/>
            <w:shd w:val="clear" w:color="auto" w:fill="C0C0C0"/>
          </w:tcPr>
          <w:p>
            <w:pPr>
              <w:jc w:val="right"/>
              <w:ind w:right="92"/>
              <w:spacing w:after="0"/>
              <w:rPr>
                <w:sz w:val="20"/>
                <w:szCs w:val="20"/>
                <w:color w:val="auto"/>
              </w:rPr>
            </w:pPr>
            <w:r>
              <w:rPr>
                <w:rFonts w:ascii="Arial" w:cs="Arial" w:eastAsia="Arial" w:hAnsi="Arial"/>
                <w:sz w:val="18"/>
                <w:szCs w:val="18"/>
                <w:color w:val="auto"/>
              </w:rPr>
              <w:t>1.59%</w:t>
            </w:r>
          </w:p>
        </w:tc>
        <w:tc>
          <w:tcPr>
            <w:tcW w:w="940" w:type="dxa"/>
            <w:vAlign w:val="bottom"/>
            <w:gridSpan w:val="2"/>
            <w:shd w:val="clear" w:color="auto" w:fill="C0C0C0"/>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1.70%</w:t>
            </w:r>
          </w:p>
        </w:tc>
        <w:tc>
          <w:tcPr>
            <w:tcW w:w="400" w:type="dxa"/>
            <w:vAlign w:val="bottom"/>
            <w:shd w:val="clear" w:color="auto" w:fill="C0C0C0"/>
          </w:tcPr>
          <w:p>
            <w:pPr>
              <w:spacing w:after="0"/>
              <w:rPr>
                <w:sz w:val="21"/>
                <w:szCs w:val="21"/>
                <w:color w:val="auto"/>
              </w:rPr>
            </w:pPr>
          </w:p>
        </w:tc>
        <w:tc>
          <w:tcPr>
            <w:tcW w:w="9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1.60%</w:t>
            </w: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37"/>
        </w:trPr>
        <w:tc>
          <w:tcPr>
            <w:tcW w:w="5060" w:type="dxa"/>
            <w:vAlign w:val="bottom"/>
          </w:tcPr>
          <w:p>
            <w:pPr>
              <w:spacing w:after="0"/>
              <w:rPr>
                <w:sz w:val="20"/>
                <w:szCs w:val="20"/>
                <w:color w:val="auto"/>
              </w:rPr>
            </w:pPr>
            <w:r>
              <w:rPr>
                <w:rFonts w:ascii="Arial" w:cs="Arial" w:eastAsia="Arial" w:hAnsi="Arial"/>
                <w:sz w:val="18"/>
                <w:szCs w:val="18"/>
                <w:color w:val="auto"/>
              </w:rPr>
              <w:t>Return on average equity</w:t>
            </w:r>
          </w:p>
        </w:tc>
        <w:tc>
          <w:tcPr>
            <w:tcW w:w="180" w:type="dxa"/>
            <w:vAlign w:val="bottom"/>
          </w:tcPr>
          <w:p>
            <w:pPr>
              <w:spacing w:after="0"/>
              <w:rPr>
                <w:sz w:val="20"/>
                <w:szCs w:val="20"/>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12.13%</w:t>
            </w:r>
          </w:p>
        </w:tc>
        <w:tc>
          <w:tcPr>
            <w:tcW w:w="320" w:type="dxa"/>
            <w:vAlign w:val="bottom"/>
          </w:tcPr>
          <w:p>
            <w:pPr>
              <w:spacing w:after="0"/>
              <w:rPr>
                <w:sz w:val="20"/>
                <w:szCs w:val="20"/>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11.44%</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12.24%</w:t>
            </w:r>
          </w:p>
        </w:tc>
        <w:tc>
          <w:tcPr>
            <w:tcW w:w="400" w:type="dxa"/>
            <w:vAlign w:val="bottom"/>
          </w:tcPr>
          <w:p>
            <w:pPr>
              <w:spacing w:after="0"/>
              <w:rPr>
                <w:sz w:val="20"/>
                <w:szCs w:val="20"/>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11.41%</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430"/>
        </w:trPr>
        <w:tc>
          <w:tcPr>
            <w:tcW w:w="50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jc w:val="right"/>
              <w:ind w:right="172"/>
              <w:spacing w:after="0"/>
              <w:rPr>
                <w:sz w:val="20"/>
                <w:szCs w:val="20"/>
                <w:color w:val="auto"/>
              </w:rPr>
            </w:pPr>
            <w:r>
              <w:rPr>
                <w:rFonts w:ascii="Arial" w:cs="Arial" w:eastAsia="Arial" w:hAnsi="Arial"/>
                <w:sz w:val="18"/>
                <w:szCs w:val="18"/>
                <w:color w:val="auto"/>
              </w:rPr>
              <w:t>-19-</w:t>
            </w:r>
          </w:p>
        </w:tc>
        <w:tc>
          <w:tcPr>
            <w:tcW w:w="3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50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31" w:right="21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Fee Revenue and Other Income</w:t>
      </w:r>
    </w:p>
    <w:p>
      <w:pPr>
        <w:spacing w:after="0" w:line="23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Company’s fee revenue is derived mainly from transportation and facility payment and processing fees. As the Company provides its processing and payment services, it is compensated by service fees which are typically calculated on a per-item basis and by the accounts and drafts payable balances generated in the payment process which can be used to generate interest income. Processing volumes, fee revenue, and other income were as follows</w:t>
      </w:r>
      <w:r>
        <w:rPr>
          <w:rFonts w:ascii="Arial" w:cs="Arial" w:eastAsia="Arial" w:hAnsi="Arial"/>
          <w:sz w:val="12"/>
          <w:szCs w:val="12"/>
          <w:color w:val="auto"/>
        </w:rPr>
        <w: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3"/>
          </w:tcPr>
          <w:p>
            <w:pPr>
              <w:jc w:val="right"/>
              <w:ind w:right="92"/>
              <w:spacing w:after="0"/>
              <w:rPr>
                <w:sz w:val="20"/>
                <w:szCs w:val="20"/>
                <w:color w:val="auto"/>
              </w:rPr>
            </w:pPr>
            <w:r>
              <w:rPr>
                <w:rFonts w:ascii="Arial" w:cs="Arial" w:eastAsia="Arial" w:hAnsi="Arial"/>
                <w:sz w:val="18"/>
                <w:szCs w:val="18"/>
                <w:b w:val="1"/>
                <w:bCs w:val="1"/>
                <w:color w:val="auto"/>
              </w:rPr>
              <w:t>Second Quarter of</w:t>
            </w:r>
          </w:p>
        </w:tc>
        <w:tc>
          <w:tcPr>
            <w:tcW w:w="6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right"/>
              <w:ind w:right="352"/>
              <w:spacing w:after="0"/>
              <w:rPr>
                <w:sz w:val="20"/>
                <w:szCs w:val="20"/>
                <w:color w:val="auto"/>
              </w:rPr>
            </w:pPr>
            <w:r>
              <w:rPr>
                <w:rFonts w:ascii="Arial" w:cs="Arial" w:eastAsia="Arial" w:hAnsi="Arial"/>
                <w:sz w:val="18"/>
                <w:szCs w:val="18"/>
                <w:b w:val="1"/>
                <w:bCs w:val="1"/>
                <w:color w:val="auto"/>
                <w:w w:val="93"/>
              </w:rPr>
              <w:t>First Half of</w:t>
            </w:r>
          </w:p>
        </w:tc>
        <w:tc>
          <w:tcPr>
            <w:tcW w:w="780" w:type="dxa"/>
            <w:vAlign w:val="bottom"/>
            <w:tcBorders>
              <w:bottom w:val="single" w:sz="8" w:color="auto"/>
            </w:tcBorders>
          </w:tcPr>
          <w:p>
            <w:pPr>
              <w:spacing w:after="0"/>
              <w:rPr>
                <w:sz w:val="20"/>
                <w:szCs w:val="20"/>
                <w:color w:val="auto"/>
              </w:rPr>
            </w:pPr>
          </w:p>
        </w:tc>
      </w:tr>
      <w:tr>
        <w:trPr>
          <w:trHeight w:val="228"/>
        </w:trPr>
        <w:tc>
          <w:tcPr>
            <w:tcW w:w="4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60" w:type="dxa"/>
            <w:vAlign w:val="bottom"/>
          </w:tcPr>
          <w:p>
            <w:pPr>
              <w:jc w:val="right"/>
              <w:ind w:right="112"/>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80" w:type="dxa"/>
            <w:vAlign w:val="bottom"/>
          </w:tcPr>
          <w:p>
            <w:pPr>
              <w:jc w:val="right"/>
              <w:ind w:right="192"/>
              <w:spacing w:after="0"/>
              <w:rPr>
                <w:sz w:val="20"/>
                <w:szCs w:val="20"/>
                <w:color w:val="auto"/>
              </w:rPr>
            </w:pPr>
            <w:r>
              <w:rPr>
                <w:rFonts w:ascii="Arial" w:cs="Arial" w:eastAsia="Arial" w:hAnsi="Arial"/>
                <w:sz w:val="18"/>
                <w:szCs w:val="18"/>
                <w:b w:val="1"/>
                <w:bCs w:val="1"/>
                <w:color w:val="auto"/>
              </w:rPr>
              <w:t>%</w:t>
            </w:r>
          </w:p>
        </w:tc>
      </w:tr>
      <w:tr>
        <w:trPr>
          <w:trHeight w:val="251"/>
        </w:trPr>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2017</w:t>
            </w: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2016</w:t>
            </w:r>
          </w:p>
        </w:tc>
        <w:tc>
          <w:tcPr>
            <w:tcW w:w="8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Change</w:t>
            </w: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2017</w:t>
            </w:r>
          </w:p>
        </w:tc>
        <w:tc>
          <w:tcPr>
            <w:tcW w:w="3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2016</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Change</w:t>
            </w:r>
          </w:p>
        </w:tc>
      </w:tr>
      <w:tr>
        <w:trPr>
          <w:trHeight w:val="243"/>
        </w:trPr>
        <w:tc>
          <w:tcPr>
            <w:tcW w:w="4660" w:type="dxa"/>
            <w:vAlign w:val="bottom"/>
            <w:shd w:val="clear" w:color="auto" w:fill="C0C0C0"/>
          </w:tcPr>
          <w:p>
            <w:pPr>
              <w:spacing w:after="0"/>
              <w:rPr>
                <w:sz w:val="20"/>
                <w:szCs w:val="20"/>
                <w:color w:val="auto"/>
              </w:rPr>
            </w:pPr>
            <w:r>
              <w:rPr>
                <w:rFonts w:ascii="Arial" w:cs="Arial" w:eastAsia="Arial" w:hAnsi="Arial"/>
                <w:sz w:val="18"/>
                <w:szCs w:val="18"/>
                <w:color w:val="auto"/>
              </w:rPr>
              <w:t>Transportation invoice volume</w:t>
            </w:r>
          </w:p>
        </w:tc>
        <w:tc>
          <w:tcPr>
            <w:tcW w:w="16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9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9,248</w:t>
            </w:r>
          </w:p>
        </w:tc>
        <w:tc>
          <w:tcPr>
            <w:tcW w:w="300" w:type="dxa"/>
            <w:vAlign w:val="bottom"/>
            <w:shd w:val="clear" w:color="auto" w:fill="C0C0C0"/>
          </w:tcPr>
          <w:p>
            <w:pPr>
              <w:spacing w:after="0"/>
              <w:rPr>
                <w:sz w:val="21"/>
                <w:szCs w:val="21"/>
                <w:color w:val="auto"/>
              </w:rPr>
            </w:pPr>
          </w:p>
        </w:tc>
        <w:tc>
          <w:tcPr>
            <w:tcW w:w="9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8,776</w:t>
            </w: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5.4%</w:t>
            </w:r>
          </w:p>
        </w:tc>
        <w:tc>
          <w:tcPr>
            <w:tcW w:w="16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9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17,623</w:t>
            </w:r>
          </w:p>
        </w:tc>
        <w:tc>
          <w:tcPr>
            <w:tcW w:w="36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16,888</w:t>
            </w: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4.4%</w:t>
            </w:r>
          </w:p>
        </w:tc>
      </w:tr>
      <w:tr>
        <w:trPr>
          <w:trHeight w:val="228"/>
        </w:trPr>
        <w:tc>
          <w:tcPr>
            <w:tcW w:w="4660" w:type="dxa"/>
            <w:vAlign w:val="bottom"/>
          </w:tcPr>
          <w:p>
            <w:pPr>
              <w:spacing w:after="0"/>
              <w:rPr>
                <w:sz w:val="20"/>
                <w:szCs w:val="20"/>
                <w:color w:val="auto"/>
              </w:rPr>
            </w:pPr>
            <w:r>
              <w:rPr>
                <w:rFonts w:ascii="Arial" w:cs="Arial" w:eastAsia="Arial" w:hAnsi="Arial"/>
                <w:sz w:val="18"/>
                <w:szCs w:val="18"/>
                <w:color w:val="auto"/>
              </w:rPr>
              <w:t>Transportation invoice dollar</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51"/>
        </w:trPr>
        <w:tc>
          <w:tcPr>
            <w:tcW w:w="4660" w:type="dxa"/>
            <w:vAlign w:val="bottom"/>
          </w:tcPr>
          <w:p>
            <w:pPr>
              <w:ind w:left="280"/>
              <w:spacing w:after="0"/>
              <w:rPr>
                <w:sz w:val="20"/>
                <w:szCs w:val="20"/>
                <w:color w:val="auto"/>
              </w:rPr>
            </w:pPr>
            <w:r>
              <w:rPr>
                <w:rFonts w:ascii="Arial" w:cs="Arial" w:eastAsia="Arial" w:hAnsi="Arial"/>
                <w:sz w:val="18"/>
                <w:szCs w:val="18"/>
                <w:color w:val="auto"/>
              </w:rPr>
              <w:t>volume</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6,231,378</w:t>
            </w:r>
          </w:p>
        </w:tc>
        <w:tc>
          <w:tcPr>
            <w:tcW w:w="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5,800,675</w:t>
            </w:r>
          </w:p>
        </w:tc>
        <w:tc>
          <w:tcPr>
            <w:tcW w:w="660" w:type="dxa"/>
            <w:vAlign w:val="bottom"/>
          </w:tcPr>
          <w:p>
            <w:pPr>
              <w:jc w:val="right"/>
              <w:spacing w:after="0"/>
              <w:rPr>
                <w:sz w:val="20"/>
                <w:szCs w:val="20"/>
                <w:color w:val="auto"/>
              </w:rPr>
            </w:pPr>
            <w:r>
              <w:rPr>
                <w:rFonts w:ascii="Arial" w:cs="Arial" w:eastAsia="Arial" w:hAnsi="Arial"/>
                <w:sz w:val="18"/>
                <w:szCs w:val="18"/>
                <w:color w:val="auto"/>
              </w:rPr>
              <w:t>7.4%</w:t>
            </w:r>
          </w:p>
        </w:tc>
        <w:tc>
          <w:tcPr>
            <w:tcW w:w="160" w:type="dxa"/>
            <w:vAlign w:val="bottom"/>
          </w:tcPr>
          <w:p>
            <w:pPr>
              <w:spacing w:after="0"/>
              <w:rPr>
                <w:sz w:val="21"/>
                <w:szCs w:val="21"/>
                <w:color w:val="auto"/>
              </w:rPr>
            </w:pP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9"/>
              </w:rPr>
              <w:t>12,108,221</w:t>
            </w:r>
          </w:p>
        </w:tc>
        <w:tc>
          <w:tcPr>
            <w:tcW w:w="3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w w:val="99"/>
              </w:rPr>
              <w:t>11,243,007</w:t>
            </w:r>
          </w:p>
        </w:tc>
        <w:tc>
          <w:tcPr>
            <w:tcW w:w="7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35"/>
        </w:trPr>
        <w:tc>
          <w:tcPr>
            <w:tcW w:w="4660" w:type="dxa"/>
            <w:vAlign w:val="bottom"/>
            <w:shd w:val="clear" w:color="auto" w:fill="C0C0C0"/>
          </w:tcPr>
          <w:p>
            <w:pPr>
              <w:spacing w:after="0"/>
              <w:rPr>
                <w:sz w:val="20"/>
                <w:szCs w:val="20"/>
                <w:color w:val="auto"/>
              </w:rPr>
            </w:pPr>
            <w:r>
              <w:rPr>
                <w:rFonts w:ascii="Arial" w:cs="Arial" w:eastAsia="Arial" w:hAnsi="Arial"/>
                <w:sz w:val="18"/>
                <w:szCs w:val="18"/>
                <w:color w:val="auto"/>
              </w:rPr>
              <w:t>Expense management</w:t>
            </w:r>
          </w:p>
        </w:tc>
        <w:tc>
          <w:tcPr>
            <w:tcW w:w="160" w:type="dxa"/>
            <w:vAlign w:val="bottom"/>
            <w:shd w:val="clear" w:color="auto" w:fill="C0C0C0"/>
          </w:tcPr>
          <w:p>
            <w:pPr>
              <w:spacing w:after="0"/>
              <w:rPr>
                <w:sz w:val="20"/>
                <w:szCs w:val="20"/>
                <w:color w:val="auto"/>
              </w:rPr>
            </w:pPr>
          </w:p>
        </w:tc>
        <w:tc>
          <w:tcPr>
            <w:tcW w:w="240" w:type="dxa"/>
            <w:vAlign w:val="bottom"/>
            <w:shd w:val="clear" w:color="auto" w:fill="C0C0C0"/>
          </w:tcPr>
          <w:p>
            <w:pPr>
              <w:spacing w:after="0"/>
              <w:rPr>
                <w:sz w:val="20"/>
                <w:szCs w:val="20"/>
                <w:color w:val="auto"/>
              </w:rPr>
            </w:pPr>
          </w:p>
        </w:tc>
        <w:tc>
          <w:tcPr>
            <w:tcW w:w="920" w:type="dxa"/>
            <w:vAlign w:val="bottom"/>
            <w:shd w:val="clear" w:color="auto" w:fill="C0C0C0"/>
          </w:tcPr>
          <w:p>
            <w:pPr>
              <w:spacing w:after="0"/>
              <w:rPr>
                <w:sz w:val="20"/>
                <w:szCs w:val="20"/>
                <w:color w:val="auto"/>
              </w:rPr>
            </w:pPr>
          </w:p>
        </w:tc>
        <w:tc>
          <w:tcPr>
            <w:tcW w:w="300" w:type="dxa"/>
            <w:vAlign w:val="bottom"/>
            <w:shd w:val="clear" w:color="auto" w:fill="C0C0C0"/>
          </w:tcPr>
          <w:p>
            <w:pPr>
              <w:spacing w:after="0"/>
              <w:rPr>
                <w:sz w:val="20"/>
                <w:szCs w:val="20"/>
                <w:color w:val="auto"/>
              </w:rPr>
            </w:pPr>
          </w:p>
        </w:tc>
        <w:tc>
          <w:tcPr>
            <w:tcW w:w="940" w:type="dxa"/>
            <w:vAlign w:val="bottom"/>
            <w:shd w:val="clear" w:color="auto" w:fill="C0C0C0"/>
          </w:tcPr>
          <w:p>
            <w:pPr>
              <w:spacing w:after="0"/>
              <w:rPr>
                <w:sz w:val="20"/>
                <w:szCs w:val="20"/>
                <w:color w:val="auto"/>
              </w:rPr>
            </w:pPr>
          </w:p>
        </w:tc>
        <w:tc>
          <w:tcPr>
            <w:tcW w:w="660" w:type="dxa"/>
            <w:vAlign w:val="bottom"/>
            <w:shd w:val="clear" w:color="auto" w:fill="C0C0C0"/>
          </w:tcPr>
          <w:p>
            <w:pPr>
              <w:spacing w:after="0"/>
              <w:rPr>
                <w:sz w:val="20"/>
                <w:szCs w:val="20"/>
                <w:color w:val="auto"/>
              </w:rPr>
            </w:pPr>
          </w:p>
        </w:tc>
        <w:tc>
          <w:tcPr>
            <w:tcW w:w="160" w:type="dxa"/>
            <w:vAlign w:val="bottom"/>
            <w:shd w:val="clear" w:color="auto" w:fill="C0C0C0"/>
          </w:tcPr>
          <w:p>
            <w:pPr>
              <w:spacing w:after="0"/>
              <w:rPr>
                <w:sz w:val="20"/>
                <w:szCs w:val="20"/>
                <w:color w:val="auto"/>
              </w:rPr>
            </w:pPr>
          </w:p>
        </w:tc>
        <w:tc>
          <w:tcPr>
            <w:tcW w:w="240" w:type="dxa"/>
            <w:vAlign w:val="bottom"/>
            <w:shd w:val="clear" w:color="auto" w:fill="C0C0C0"/>
          </w:tcPr>
          <w:p>
            <w:pPr>
              <w:spacing w:after="0"/>
              <w:rPr>
                <w:sz w:val="20"/>
                <w:szCs w:val="20"/>
                <w:color w:val="auto"/>
              </w:rPr>
            </w:pPr>
          </w:p>
        </w:tc>
        <w:tc>
          <w:tcPr>
            <w:tcW w:w="960" w:type="dxa"/>
            <w:vAlign w:val="bottom"/>
            <w:shd w:val="clear" w:color="auto" w:fill="C0C0C0"/>
          </w:tcPr>
          <w:p>
            <w:pPr>
              <w:spacing w:after="0"/>
              <w:rPr>
                <w:sz w:val="20"/>
                <w:szCs w:val="20"/>
                <w:color w:val="auto"/>
              </w:rPr>
            </w:pPr>
          </w:p>
        </w:tc>
        <w:tc>
          <w:tcPr>
            <w:tcW w:w="360" w:type="dxa"/>
            <w:vAlign w:val="bottom"/>
            <w:shd w:val="clear" w:color="auto" w:fill="C0C0C0"/>
          </w:tcPr>
          <w:p>
            <w:pPr>
              <w:spacing w:after="0"/>
              <w:rPr>
                <w:sz w:val="20"/>
                <w:szCs w:val="20"/>
                <w:color w:val="auto"/>
              </w:rPr>
            </w:pPr>
          </w:p>
        </w:tc>
        <w:tc>
          <w:tcPr>
            <w:tcW w:w="1040" w:type="dxa"/>
            <w:vAlign w:val="bottom"/>
            <w:shd w:val="clear" w:color="auto" w:fill="C0C0C0"/>
          </w:tcPr>
          <w:p>
            <w:pPr>
              <w:spacing w:after="0"/>
              <w:rPr>
                <w:sz w:val="20"/>
                <w:szCs w:val="20"/>
                <w:color w:val="auto"/>
              </w:rPr>
            </w:pPr>
          </w:p>
        </w:tc>
        <w:tc>
          <w:tcPr>
            <w:tcW w:w="780" w:type="dxa"/>
            <w:vAlign w:val="bottom"/>
            <w:shd w:val="clear" w:color="auto" w:fill="C0C0C0"/>
          </w:tcPr>
          <w:p>
            <w:pPr>
              <w:spacing w:after="0"/>
              <w:rPr>
                <w:sz w:val="20"/>
                <w:szCs w:val="20"/>
                <w:color w:val="auto"/>
              </w:rPr>
            </w:pPr>
          </w:p>
        </w:tc>
      </w:tr>
      <w:tr>
        <w:trPr>
          <w:trHeight w:val="259"/>
        </w:trPr>
        <w:tc>
          <w:tcPr>
            <w:tcW w:w="4660" w:type="dxa"/>
            <w:vAlign w:val="bottom"/>
            <w:shd w:val="clear" w:color="auto" w:fill="C0C0C0"/>
          </w:tcPr>
          <w:p>
            <w:pPr>
              <w:ind w:left="280"/>
              <w:spacing w:after="0"/>
              <w:rPr>
                <w:sz w:val="20"/>
                <w:szCs w:val="20"/>
                <w:color w:val="auto"/>
              </w:rPr>
            </w:pPr>
            <w:r>
              <w:rPr>
                <w:rFonts w:ascii="Arial" w:cs="Arial" w:eastAsia="Arial" w:hAnsi="Arial"/>
                <w:sz w:val="18"/>
                <w:szCs w:val="18"/>
                <w:color w:val="auto"/>
              </w:rPr>
              <w:t>transaction volume*</w:t>
            </w:r>
          </w:p>
        </w:tc>
        <w:tc>
          <w:tcPr>
            <w:tcW w:w="160" w:type="dxa"/>
            <w:vAlign w:val="bottom"/>
            <w:shd w:val="clear" w:color="auto" w:fill="C0C0C0"/>
          </w:tcPr>
          <w:p>
            <w:pPr>
              <w:spacing w:after="0"/>
              <w:rPr>
                <w:sz w:val="22"/>
                <w:szCs w:val="22"/>
                <w:color w:val="auto"/>
              </w:rPr>
            </w:pPr>
          </w:p>
        </w:tc>
        <w:tc>
          <w:tcPr>
            <w:tcW w:w="240" w:type="dxa"/>
            <w:vAlign w:val="bottom"/>
            <w:shd w:val="clear" w:color="auto" w:fill="C0C0C0"/>
          </w:tcPr>
          <w:p>
            <w:pPr>
              <w:spacing w:after="0"/>
              <w:rPr>
                <w:sz w:val="22"/>
                <w:szCs w:val="22"/>
                <w:color w:val="auto"/>
              </w:rPr>
            </w:pPr>
          </w:p>
        </w:tc>
        <w:tc>
          <w:tcPr>
            <w:tcW w:w="9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6,729</w:t>
            </w:r>
          </w:p>
        </w:tc>
        <w:tc>
          <w:tcPr>
            <w:tcW w:w="300" w:type="dxa"/>
            <w:vAlign w:val="bottom"/>
            <w:shd w:val="clear" w:color="auto" w:fill="C0C0C0"/>
          </w:tcPr>
          <w:p>
            <w:pPr>
              <w:spacing w:after="0"/>
              <w:rPr>
                <w:sz w:val="22"/>
                <w:szCs w:val="22"/>
                <w:color w:val="auto"/>
              </w:rPr>
            </w:pPr>
          </w:p>
        </w:tc>
        <w:tc>
          <w:tcPr>
            <w:tcW w:w="9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5,667</w:t>
            </w: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18.7%</w:t>
            </w:r>
          </w:p>
        </w:tc>
        <w:tc>
          <w:tcPr>
            <w:tcW w:w="160" w:type="dxa"/>
            <w:vAlign w:val="bottom"/>
            <w:shd w:val="clear" w:color="auto" w:fill="C0C0C0"/>
          </w:tcPr>
          <w:p>
            <w:pPr>
              <w:spacing w:after="0"/>
              <w:rPr>
                <w:sz w:val="22"/>
                <w:szCs w:val="22"/>
                <w:color w:val="auto"/>
              </w:rPr>
            </w:pPr>
          </w:p>
        </w:tc>
        <w:tc>
          <w:tcPr>
            <w:tcW w:w="240" w:type="dxa"/>
            <w:vAlign w:val="bottom"/>
            <w:shd w:val="clear" w:color="auto" w:fill="C0C0C0"/>
          </w:tcPr>
          <w:p>
            <w:pPr>
              <w:spacing w:after="0"/>
              <w:rPr>
                <w:sz w:val="22"/>
                <w:szCs w:val="22"/>
                <w:color w:val="auto"/>
              </w:rPr>
            </w:pPr>
          </w:p>
        </w:tc>
        <w:tc>
          <w:tcPr>
            <w:tcW w:w="9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13,542</w:t>
            </w:r>
          </w:p>
        </w:tc>
        <w:tc>
          <w:tcPr>
            <w:tcW w:w="360" w:type="dxa"/>
            <w:vAlign w:val="bottom"/>
            <w:shd w:val="clear" w:color="auto" w:fill="C0C0C0"/>
          </w:tcPr>
          <w:p>
            <w:pPr>
              <w:spacing w:after="0"/>
              <w:rPr>
                <w:sz w:val="22"/>
                <w:szCs w:val="22"/>
                <w:color w:val="auto"/>
              </w:rPr>
            </w:pPr>
          </w:p>
        </w:tc>
        <w:tc>
          <w:tcPr>
            <w:tcW w:w="10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10,955</w:t>
            </w: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23.6%</w:t>
            </w:r>
          </w:p>
        </w:tc>
      </w:tr>
      <w:tr>
        <w:trPr>
          <w:trHeight w:val="228"/>
        </w:trPr>
        <w:tc>
          <w:tcPr>
            <w:tcW w:w="4660" w:type="dxa"/>
            <w:vAlign w:val="bottom"/>
          </w:tcPr>
          <w:p>
            <w:pPr>
              <w:spacing w:after="0"/>
              <w:rPr>
                <w:sz w:val="20"/>
                <w:szCs w:val="20"/>
                <w:color w:val="auto"/>
              </w:rPr>
            </w:pPr>
            <w:r>
              <w:rPr>
                <w:rFonts w:ascii="Arial" w:cs="Arial" w:eastAsia="Arial" w:hAnsi="Arial"/>
                <w:sz w:val="18"/>
                <w:szCs w:val="18"/>
                <w:color w:val="auto"/>
              </w:rPr>
              <w:t>Expense management dollar</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51"/>
        </w:trPr>
        <w:tc>
          <w:tcPr>
            <w:tcW w:w="4660" w:type="dxa"/>
            <w:vAlign w:val="bottom"/>
          </w:tcPr>
          <w:p>
            <w:pPr>
              <w:ind w:left="280"/>
              <w:spacing w:after="0"/>
              <w:rPr>
                <w:sz w:val="20"/>
                <w:szCs w:val="20"/>
                <w:color w:val="auto"/>
              </w:rPr>
            </w:pPr>
            <w:r>
              <w:rPr>
                <w:rFonts w:ascii="Arial" w:cs="Arial" w:eastAsia="Arial" w:hAnsi="Arial"/>
                <w:sz w:val="18"/>
                <w:szCs w:val="18"/>
                <w:color w:val="auto"/>
              </w:rPr>
              <w:t>volume*</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3,079,988</w:t>
            </w:r>
          </w:p>
        </w:tc>
        <w:tc>
          <w:tcPr>
            <w:tcW w:w="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2,775,639</w:t>
            </w:r>
          </w:p>
        </w:tc>
        <w:tc>
          <w:tcPr>
            <w:tcW w:w="660" w:type="dxa"/>
            <w:vAlign w:val="bottom"/>
          </w:tcPr>
          <w:p>
            <w:pPr>
              <w:jc w:val="right"/>
              <w:spacing w:after="0"/>
              <w:rPr>
                <w:sz w:val="20"/>
                <w:szCs w:val="20"/>
                <w:color w:val="auto"/>
              </w:rPr>
            </w:pPr>
            <w:r>
              <w:rPr>
                <w:rFonts w:ascii="Arial" w:cs="Arial" w:eastAsia="Arial" w:hAnsi="Arial"/>
                <w:sz w:val="18"/>
                <w:szCs w:val="18"/>
                <w:color w:val="auto"/>
              </w:rPr>
              <w:t>11.0%</w:t>
            </w:r>
          </w:p>
        </w:tc>
        <w:tc>
          <w:tcPr>
            <w:tcW w:w="160" w:type="dxa"/>
            <w:vAlign w:val="bottom"/>
          </w:tcPr>
          <w:p>
            <w:pPr>
              <w:spacing w:after="0"/>
              <w:rPr>
                <w:sz w:val="21"/>
                <w:szCs w:val="21"/>
                <w:color w:val="auto"/>
              </w:rPr>
            </w:pP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6,255,901</w:t>
            </w:r>
          </w:p>
        </w:tc>
        <w:tc>
          <w:tcPr>
            <w:tcW w:w="3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5,581,132</w:t>
            </w:r>
          </w:p>
        </w:tc>
        <w:tc>
          <w:tcPr>
            <w:tcW w:w="78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44"/>
        </w:trPr>
        <w:tc>
          <w:tcPr>
            <w:tcW w:w="466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Payment and processing revenue</w:t>
            </w:r>
          </w:p>
        </w:tc>
        <w:tc>
          <w:tcPr>
            <w:tcW w:w="400" w:type="dxa"/>
            <w:vAlign w:val="bottom"/>
            <w:tcBorders>
              <w:bottom w:val="single" w:sz="8" w:color="auto"/>
            </w:tcBorders>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23,282</w:t>
            </w:r>
          </w:p>
        </w:tc>
        <w:tc>
          <w:tcPr>
            <w:tcW w:w="30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20,880</w:t>
            </w:r>
          </w:p>
        </w:tc>
        <w:tc>
          <w:tcPr>
            <w:tcW w:w="6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11.5%</w:t>
            </w:r>
          </w:p>
        </w:tc>
        <w:tc>
          <w:tcPr>
            <w:tcW w:w="160" w:type="dxa"/>
            <w:vAlign w:val="bottom"/>
            <w:tcBorders>
              <w:bottom w:val="single" w:sz="8" w:color="auto"/>
            </w:tcBorders>
            <w:shd w:val="clear" w:color="auto" w:fill="C0C0C0"/>
          </w:tcPr>
          <w:p>
            <w:pPr>
              <w:spacing w:after="0"/>
              <w:rPr>
                <w:sz w:val="21"/>
                <w:szCs w:val="21"/>
                <w:color w:val="auto"/>
              </w:rPr>
            </w:pPr>
          </w:p>
        </w:tc>
        <w:tc>
          <w:tcPr>
            <w:tcW w:w="24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45,571</w:t>
            </w:r>
          </w:p>
        </w:tc>
        <w:tc>
          <w:tcPr>
            <w:tcW w:w="36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40,425</w:t>
            </w:r>
          </w:p>
        </w:tc>
        <w:tc>
          <w:tcPr>
            <w:tcW w:w="7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12.7%</w:t>
            </w:r>
          </w:p>
        </w:tc>
      </w:tr>
    </w:tbl>
    <w:p>
      <w:pPr>
        <w:spacing w:after="0" w:line="30" w:lineRule="exact"/>
        <w:rPr>
          <w:sz w:val="20"/>
          <w:szCs w:val="20"/>
          <w:color w:val="auto"/>
        </w:rPr>
      </w:pPr>
    </w:p>
    <w:p>
      <w:pPr>
        <w:ind w:left="280"/>
        <w:spacing w:after="0"/>
        <w:rPr>
          <w:sz w:val="20"/>
          <w:szCs w:val="20"/>
          <w:color w:val="auto"/>
        </w:rPr>
      </w:pPr>
      <w:r>
        <w:rPr>
          <w:rFonts w:ascii="Arial" w:cs="Arial" w:eastAsia="Arial" w:hAnsi="Arial"/>
          <w:sz w:val="14"/>
          <w:szCs w:val="14"/>
          <w:color w:val="auto"/>
        </w:rPr>
        <w:t>*Includes energy, telecom and waste</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Second Quarter of 2017 compared to Second Quarter of 2016:</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transportation sector, a growing roster of clients and an increase in base activity boosted invoice volume by 5.4% and dollar volume by 7.4%. The expense management group had growth of 18.7% in transaction volume. New customer wins, combined with increased volume from current accounts, fueled the increase. Expense management dollar volume was also up 11.0% for the period.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There were no gains on sales of securities in the Second Quarter of 2017, compared to $79,000 in the Second Quarter of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First Half of 2017 compared to First Half of 2016:</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Transportation invoice and dollar volumes, as well as expense management transaction and dollar volumes, increased for the same reasons as the Second Quarter.</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There were no gains on sales of securities in the First Half of 2017, compared to $387,000 in the First Half of 2016.</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Interest Income</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interest income is the difference between interest earned on loans, investments, and other earning assets and interest expense on deposits and other interest-bearing liabilities. Net interest income is a significant source of the Company’s revenues. The following table summarizes the changes in tax-equivalent net interest income and related factors: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620" w:type="dxa"/>
            <w:vAlign w:val="bottom"/>
          </w:tcPr>
          <w:p>
            <w:pPr>
              <w:spacing w:after="0"/>
              <w:rPr>
                <w:sz w:val="20"/>
                <w:szCs w:val="20"/>
                <w:color w:val="auto"/>
              </w:rPr>
            </w:pPr>
          </w:p>
        </w:tc>
        <w:tc>
          <w:tcPr>
            <w:tcW w:w="256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8"/>
                <w:szCs w:val="18"/>
                <w:b w:val="1"/>
                <w:bCs w:val="1"/>
                <w:color w:val="auto"/>
              </w:rPr>
              <w:t>Second Quarter of</w:t>
            </w:r>
          </w:p>
        </w:tc>
        <w:tc>
          <w:tcPr>
            <w:tcW w:w="7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w w:val="99"/>
              </w:rPr>
              <w:t>First Half of</w:t>
            </w:r>
          </w:p>
        </w:tc>
        <w:tc>
          <w:tcPr>
            <w:tcW w:w="780" w:type="dxa"/>
            <w:vAlign w:val="bottom"/>
            <w:tcBorders>
              <w:bottom w:val="single" w:sz="8" w:color="auto"/>
            </w:tcBorders>
          </w:tcPr>
          <w:p>
            <w:pPr>
              <w:spacing w:after="0"/>
              <w:rPr>
                <w:sz w:val="20"/>
                <w:szCs w:val="20"/>
                <w:color w:val="auto"/>
              </w:rPr>
            </w:pPr>
          </w:p>
        </w:tc>
      </w:tr>
      <w:tr>
        <w:trPr>
          <w:trHeight w:val="228"/>
        </w:trPr>
        <w:tc>
          <w:tcPr>
            <w:tcW w:w="46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40" w:type="dxa"/>
            <w:vAlign w:val="bottom"/>
          </w:tcPr>
          <w:p>
            <w:pPr>
              <w:jc w:val="right"/>
              <w:ind w:right="112"/>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780" w:type="dxa"/>
            <w:vAlign w:val="bottom"/>
          </w:tcPr>
          <w:p>
            <w:pPr>
              <w:jc w:val="right"/>
              <w:ind w:right="152"/>
              <w:spacing w:after="0"/>
              <w:rPr>
                <w:sz w:val="20"/>
                <w:szCs w:val="20"/>
                <w:color w:val="auto"/>
              </w:rPr>
            </w:pPr>
            <w:r>
              <w:rPr>
                <w:rFonts w:ascii="Arial" w:cs="Arial" w:eastAsia="Arial" w:hAnsi="Arial"/>
                <w:sz w:val="18"/>
                <w:szCs w:val="18"/>
                <w:b w:val="1"/>
                <w:bCs w:val="1"/>
                <w:color w:val="auto"/>
              </w:rPr>
              <w:t>%</w:t>
            </w:r>
          </w:p>
        </w:tc>
      </w:tr>
      <w:tr>
        <w:trPr>
          <w:trHeight w:val="251"/>
        </w:trPr>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22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2017</w:t>
            </w:r>
          </w:p>
        </w:tc>
        <w:tc>
          <w:tcPr>
            <w:tcW w:w="13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2016</w:t>
            </w:r>
          </w:p>
        </w:tc>
        <w:tc>
          <w:tcPr>
            <w:tcW w:w="1120" w:type="dxa"/>
            <w:vAlign w:val="bottom"/>
            <w:tcBorders>
              <w:bottom w:val="single" w:sz="8" w:color="auto"/>
            </w:tcBorders>
            <w:gridSpan w:val="3"/>
          </w:tcPr>
          <w:p>
            <w:pPr>
              <w:jc w:val="right"/>
              <w:ind w:right="292"/>
              <w:spacing w:after="0"/>
              <w:rPr>
                <w:sz w:val="20"/>
                <w:szCs w:val="20"/>
                <w:color w:val="auto"/>
              </w:rPr>
            </w:pPr>
            <w:r>
              <w:rPr>
                <w:rFonts w:ascii="Arial" w:cs="Arial" w:eastAsia="Arial" w:hAnsi="Arial"/>
                <w:sz w:val="18"/>
                <w:szCs w:val="18"/>
                <w:b w:val="1"/>
                <w:bCs w:val="1"/>
                <w:color w:val="auto"/>
              </w:rPr>
              <w:t>Change</w:t>
            </w:r>
          </w:p>
        </w:tc>
        <w:tc>
          <w:tcPr>
            <w:tcW w:w="9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2017</w:t>
            </w:r>
          </w:p>
        </w:tc>
        <w:tc>
          <w:tcPr>
            <w:tcW w:w="14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2016</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Change</w:t>
            </w:r>
          </w:p>
        </w:tc>
      </w:tr>
      <w:tr>
        <w:trPr>
          <w:trHeight w:val="243"/>
        </w:trPr>
        <w:tc>
          <w:tcPr>
            <w:tcW w:w="4620" w:type="dxa"/>
            <w:vAlign w:val="bottom"/>
            <w:shd w:val="clear" w:color="auto" w:fill="C0C0C0"/>
          </w:tcPr>
          <w:p>
            <w:pPr>
              <w:spacing w:after="0"/>
              <w:rPr>
                <w:sz w:val="20"/>
                <w:szCs w:val="20"/>
                <w:color w:val="auto"/>
              </w:rPr>
            </w:pPr>
            <w:r>
              <w:rPr>
                <w:rFonts w:ascii="Arial" w:cs="Arial" w:eastAsia="Arial" w:hAnsi="Arial"/>
                <w:sz w:val="18"/>
                <w:szCs w:val="18"/>
                <w:color w:val="auto"/>
              </w:rPr>
              <w:t>Average earnings assets</w:t>
            </w:r>
          </w:p>
        </w:tc>
        <w:tc>
          <w:tcPr>
            <w:tcW w:w="1220" w:type="dxa"/>
            <w:vAlign w:val="bottom"/>
            <w:shd w:val="clear" w:color="auto" w:fill="C0C0C0"/>
          </w:tcPr>
          <w:p>
            <w:pPr>
              <w:jc w:val="right"/>
              <w:ind w:right="92"/>
              <w:spacing w:after="0"/>
              <w:rPr>
                <w:sz w:val="20"/>
                <w:szCs w:val="20"/>
                <w:color w:val="auto"/>
              </w:rPr>
            </w:pPr>
            <w:r>
              <w:rPr>
                <w:rFonts w:ascii="Arial" w:cs="Arial" w:eastAsia="Arial" w:hAnsi="Arial"/>
                <w:sz w:val="18"/>
                <w:szCs w:val="18"/>
                <w:color w:val="auto"/>
                <w:w w:val="97"/>
              </w:rPr>
              <w:t>$   1,332,829</w:t>
            </w:r>
          </w:p>
        </w:tc>
        <w:tc>
          <w:tcPr>
            <w:tcW w:w="134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   1,289,339</w:t>
            </w: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0C0C0"/>
          </w:tcPr>
          <w:p>
            <w:pPr>
              <w:spacing w:after="0"/>
              <w:rPr>
                <w:sz w:val="21"/>
                <w:szCs w:val="21"/>
                <w:color w:val="auto"/>
              </w:rPr>
            </w:pPr>
          </w:p>
        </w:tc>
        <w:tc>
          <w:tcPr>
            <w:tcW w:w="2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9"/>
              </w:rPr>
              <w:t>1,324,478</w:t>
            </w:r>
          </w:p>
        </w:tc>
        <w:tc>
          <w:tcPr>
            <w:tcW w:w="1440" w:type="dxa"/>
            <w:vAlign w:val="bottom"/>
            <w:shd w:val="clear" w:color="auto" w:fill="C0C0C0"/>
          </w:tcPr>
          <w:p>
            <w:pPr>
              <w:jc w:val="right"/>
              <w:ind w:right="92"/>
              <w:spacing w:after="0"/>
              <w:rPr>
                <w:sz w:val="20"/>
                <w:szCs w:val="20"/>
                <w:color w:val="auto"/>
              </w:rPr>
            </w:pPr>
            <w:r>
              <w:rPr>
                <w:rFonts w:ascii="Arial" w:cs="Arial" w:eastAsia="Arial" w:hAnsi="Arial"/>
                <w:sz w:val="18"/>
                <w:szCs w:val="18"/>
                <w:color w:val="auto"/>
              </w:rPr>
              <w:t>$   1,275,824</w:t>
            </w: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3.8%</w:t>
            </w:r>
          </w:p>
        </w:tc>
      </w:tr>
      <w:tr>
        <w:trPr>
          <w:trHeight w:val="228"/>
        </w:trPr>
        <w:tc>
          <w:tcPr>
            <w:tcW w:w="4620" w:type="dxa"/>
            <w:vAlign w:val="bottom"/>
          </w:tcPr>
          <w:p>
            <w:pPr>
              <w:spacing w:after="0"/>
              <w:rPr>
                <w:sz w:val="20"/>
                <w:szCs w:val="20"/>
                <w:color w:val="auto"/>
              </w:rPr>
            </w:pPr>
            <w:r>
              <w:rPr>
                <w:rFonts w:ascii="Arial" w:cs="Arial" w:eastAsia="Arial" w:hAnsi="Arial"/>
                <w:sz w:val="18"/>
                <w:szCs w:val="18"/>
                <w:color w:val="auto"/>
              </w:rPr>
              <w:t>Average interest-bearing</w:t>
            </w:r>
          </w:p>
        </w:tc>
        <w:tc>
          <w:tcPr>
            <w:tcW w:w="1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51"/>
        </w:trPr>
        <w:tc>
          <w:tcPr>
            <w:tcW w:w="4620" w:type="dxa"/>
            <w:vAlign w:val="bottom"/>
          </w:tcPr>
          <w:p>
            <w:pPr>
              <w:ind w:left="280"/>
              <w:spacing w:after="0"/>
              <w:rPr>
                <w:sz w:val="20"/>
                <w:szCs w:val="20"/>
                <w:color w:val="auto"/>
              </w:rPr>
            </w:pPr>
            <w:r>
              <w:rPr>
                <w:rFonts w:ascii="Arial" w:cs="Arial" w:eastAsia="Arial" w:hAnsi="Arial"/>
                <w:sz w:val="18"/>
                <w:szCs w:val="18"/>
                <w:color w:val="auto"/>
              </w:rPr>
              <w:t>liabilities</w:t>
            </w:r>
          </w:p>
        </w:tc>
        <w:tc>
          <w:tcPr>
            <w:tcW w:w="1220" w:type="dxa"/>
            <w:vAlign w:val="bottom"/>
          </w:tcPr>
          <w:p>
            <w:pPr>
              <w:jc w:val="right"/>
              <w:ind w:right="92"/>
              <w:spacing w:after="0"/>
              <w:rPr>
                <w:sz w:val="20"/>
                <w:szCs w:val="20"/>
                <w:color w:val="auto"/>
              </w:rPr>
            </w:pPr>
            <w:r>
              <w:rPr>
                <w:rFonts w:ascii="Arial" w:cs="Arial" w:eastAsia="Arial" w:hAnsi="Arial"/>
                <w:sz w:val="18"/>
                <w:szCs w:val="18"/>
                <w:color w:val="auto"/>
              </w:rPr>
              <w:t>380,197</w:t>
            </w: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426,287</w:t>
            </w:r>
          </w:p>
        </w:tc>
        <w:tc>
          <w:tcPr>
            <w:tcW w:w="740" w:type="dxa"/>
            <w:vAlign w:val="bottom"/>
          </w:tcPr>
          <w:p>
            <w:pPr>
              <w:jc w:val="right"/>
              <w:spacing w:after="0"/>
              <w:rPr>
                <w:sz w:val="20"/>
                <w:szCs w:val="20"/>
                <w:color w:val="auto"/>
              </w:rPr>
            </w:pPr>
            <w:r>
              <w:rPr>
                <w:rFonts w:ascii="Arial" w:cs="Arial" w:eastAsia="Arial" w:hAnsi="Arial"/>
                <w:sz w:val="18"/>
                <w:szCs w:val="18"/>
                <w:color w:val="auto"/>
              </w:rPr>
              <w:t>(10.8)%</w:t>
            </w:r>
          </w:p>
        </w:tc>
        <w:tc>
          <w:tcPr>
            <w:tcW w:w="380" w:type="dxa"/>
            <w:vAlign w:val="bottom"/>
            <w:gridSpan w:val="2"/>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386,372</w:t>
            </w:r>
          </w:p>
        </w:tc>
        <w:tc>
          <w:tcPr>
            <w:tcW w:w="1440" w:type="dxa"/>
            <w:vAlign w:val="bottom"/>
          </w:tcPr>
          <w:p>
            <w:pPr>
              <w:jc w:val="right"/>
              <w:ind w:right="92"/>
              <w:spacing w:after="0"/>
              <w:rPr>
                <w:sz w:val="20"/>
                <w:szCs w:val="20"/>
                <w:color w:val="auto"/>
              </w:rPr>
            </w:pPr>
            <w:r>
              <w:rPr>
                <w:rFonts w:ascii="Arial" w:cs="Arial" w:eastAsia="Arial" w:hAnsi="Arial"/>
                <w:sz w:val="18"/>
                <w:szCs w:val="18"/>
                <w:color w:val="auto"/>
              </w:rPr>
              <w:t>425,834</w:t>
            </w:r>
          </w:p>
        </w:tc>
        <w:tc>
          <w:tcPr>
            <w:tcW w:w="7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64"/>
        </w:trPr>
        <w:tc>
          <w:tcPr>
            <w:tcW w:w="4620" w:type="dxa"/>
            <w:vAlign w:val="bottom"/>
            <w:shd w:val="clear" w:color="auto" w:fill="C0C0C0"/>
          </w:tcPr>
          <w:p>
            <w:pPr>
              <w:spacing w:after="0"/>
              <w:rPr>
                <w:sz w:val="20"/>
                <w:szCs w:val="20"/>
                <w:color w:val="auto"/>
              </w:rPr>
            </w:pPr>
            <w:r>
              <w:rPr>
                <w:rFonts w:ascii="Arial" w:cs="Arial" w:eastAsia="Arial" w:hAnsi="Arial"/>
                <w:sz w:val="18"/>
                <w:szCs w:val="18"/>
                <w:color w:val="auto"/>
              </w:rPr>
              <w:t>Net interest income</w:t>
            </w:r>
            <w:r>
              <w:rPr>
                <w:rFonts w:ascii="Arial" w:cs="Arial" w:eastAsia="Arial" w:hAnsi="Arial"/>
                <w:sz w:val="13"/>
                <w:szCs w:val="13"/>
                <w:color w:val="auto"/>
              </w:rPr>
              <w:t>*</w:t>
            </w:r>
          </w:p>
        </w:tc>
        <w:tc>
          <w:tcPr>
            <w:tcW w:w="1220" w:type="dxa"/>
            <w:vAlign w:val="bottom"/>
            <w:shd w:val="clear" w:color="auto" w:fill="C0C0C0"/>
          </w:tcPr>
          <w:p>
            <w:pPr>
              <w:jc w:val="right"/>
              <w:ind w:right="92"/>
              <w:spacing w:after="0"/>
              <w:rPr>
                <w:sz w:val="20"/>
                <w:szCs w:val="20"/>
                <w:color w:val="auto"/>
              </w:rPr>
            </w:pPr>
            <w:r>
              <w:rPr>
                <w:rFonts w:ascii="Arial" w:cs="Arial" w:eastAsia="Arial" w:hAnsi="Arial"/>
                <w:sz w:val="18"/>
                <w:szCs w:val="18"/>
                <w:color w:val="auto"/>
              </w:rPr>
              <w:t>11,312</w:t>
            </w:r>
          </w:p>
        </w:tc>
        <w:tc>
          <w:tcPr>
            <w:tcW w:w="134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10,896</w:t>
            </w: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0C0C0"/>
          </w:tcPr>
          <w:p>
            <w:pPr>
              <w:spacing w:after="0"/>
              <w:rPr>
                <w:sz w:val="22"/>
                <w:szCs w:val="22"/>
                <w:color w:val="auto"/>
              </w:rPr>
            </w:pPr>
          </w:p>
        </w:tc>
        <w:tc>
          <w:tcPr>
            <w:tcW w:w="220" w:type="dxa"/>
            <w:vAlign w:val="bottom"/>
            <w:shd w:val="clear" w:color="auto" w:fill="C0C0C0"/>
          </w:tcPr>
          <w:p>
            <w:pPr>
              <w:spacing w:after="0"/>
              <w:rPr>
                <w:sz w:val="22"/>
                <w:szCs w:val="22"/>
                <w:color w:val="auto"/>
              </w:rPr>
            </w:pPr>
          </w:p>
        </w:tc>
        <w:tc>
          <w:tcPr>
            <w:tcW w:w="9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22,252</w:t>
            </w:r>
          </w:p>
        </w:tc>
        <w:tc>
          <w:tcPr>
            <w:tcW w:w="1440" w:type="dxa"/>
            <w:vAlign w:val="bottom"/>
            <w:shd w:val="clear" w:color="auto" w:fill="C0C0C0"/>
          </w:tcPr>
          <w:p>
            <w:pPr>
              <w:jc w:val="right"/>
              <w:ind w:right="92"/>
              <w:spacing w:after="0"/>
              <w:rPr>
                <w:sz w:val="20"/>
                <w:szCs w:val="20"/>
                <w:color w:val="auto"/>
              </w:rPr>
            </w:pPr>
            <w:r>
              <w:rPr>
                <w:rFonts w:ascii="Arial" w:cs="Arial" w:eastAsia="Arial" w:hAnsi="Arial"/>
                <w:sz w:val="18"/>
                <w:szCs w:val="18"/>
                <w:color w:val="auto"/>
              </w:rPr>
              <w:t>21,528</w:t>
            </w: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3.4%</w:t>
            </w:r>
          </w:p>
        </w:tc>
      </w:tr>
    </w:tbl>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520" w:type="dxa"/>
            <w:vAlign w:val="bottom"/>
          </w:tcPr>
          <w:p>
            <w:pPr>
              <w:spacing w:after="0"/>
              <w:rPr>
                <w:sz w:val="20"/>
                <w:szCs w:val="20"/>
                <w:color w:val="auto"/>
              </w:rPr>
            </w:pPr>
            <w:r>
              <w:rPr>
                <w:rFonts w:ascii="Arial" w:cs="Arial" w:eastAsia="Arial" w:hAnsi="Arial"/>
                <w:sz w:val="18"/>
                <w:szCs w:val="18"/>
                <w:color w:val="auto"/>
              </w:rPr>
              <w:t>Net interest margin</w:t>
            </w:r>
            <w:r>
              <w:rPr>
                <w:rFonts w:ascii="Arial" w:cs="Arial" w:eastAsia="Arial" w:hAnsi="Arial"/>
                <w:sz w:val="13"/>
                <w:szCs w:val="13"/>
                <w:color w:val="auto"/>
              </w:rPr>
              <w:t>*</w:t>
            </w:r>
          </w:p>
        </w:tc>
        <w:tc>
          <w:tcPr>
            <w:tcW w:w="2740" w:type="dxa"/>
            <w:vAlign w:val="bottom"/>
          </w:tcPr>
          <w:p>
            <w:pPr>
              <w:jc w:val="right"/>
              <w:ind w:right="352"/>
              <w:spacing w:after="0"/>
              <w:rPr>
                <w:sz w:val="20"/>
                <w:szCs w:val="20"/>
                <w:color w:val="auto"/>
              </w:rPr>
            </w:pPr>
            <w:r>
              <w:rPr>
                <w:rFonts w:ascii="Arial" w:cs="Arial" w:eastAsia="Arial" w:hAnsi="Arial"/>
                <w:sz w:val="18"/>
                <w:szCs w:val="18"/>
                <w:color w:val="auto"/>
              </w:rPr>
              <w:t>3.40%</w:t>
            </w:r>
          </w:p>
        </w:tc>
        <w:tc>
          <w:tcPr>
            <w:tcW w:w="1740" w:type="dxa"/>
            <w:vAlign w:val="bottom"/>
          </w:tcPr>
          <w:p>
            <w:pPr>
              <w:jc w:val="right"/>
              <w:ind w:right="752"/>
              <w:spacing w:after="0"/>
              <w:rPr>
                <w:sz w:val="20"/>
                <w:szCs w:val="20"/>
                <w:color w:val="auto"/>
              </w:rPr>
            </w:pPr>
            <w:r>
              <w:rPr>
                <w:rFonts w:ascii="Arial" w:cs="Arial" w:eastAsia="Arial" w:hAnsi="Arial"/>
                <w:sz w:val="18"/>
                <w:szCs w:val="18"/>
                <w:color w:val="auto"/>
              </w:rPr>
              <w:t>3.40%</w:t>
            </w:r>
          </w:p>
        </w:tc>
        <w:tc>
          <w:tcPr>
            <w:tcW w:w="1720" w:type="dxa"/>
            <w:vAlign w:val="bottom"/>
          </w:tcPr>
          <w:p>
            <w:pPr>
              <w:jc w:val="right"/>
              <w:ind w:right="352"/>
              <w:spacing w:after="0"/>
              <w:rPr>
                <w:sz w:val="20"/>
                <w:szCs w:val="20"/>
                <w:color w:val="auto"/>
              </w:rPr>
            </w:pPr>
            <w:r>
              <w:rPr>
                <w:rFonts w:ascii="Arial" w:cs="Arial" w:eastAsia="Arial" w:hAnsi="Arial"/>
                <w:sz w:val="18"/>
                <w:szCs w:val="18"/>
                <w:color w:val="auto"/>
              </w:rPr>
              <w:t>3.39%</w:t>
            </w:r>
          </w:p>
        </w:tc>
        <w:tc>
          <w:tcPr>
            <w:tcW w:w="1700" w:type="dxa"/>
            <w:vAlign w:val="bottom"/>
          </w:tcPr>
          <w:p>
            <w:pPr>
              <w:jc w:val="right"/>
              <w:ind w:right="732"/>
              <w:spacing w:after="0"/>
              <w:rPr>
                <w:sz w:val="20"/>
                <w:szCs w:val="20"/>
                <w:color w:val="auto"/>
              </w:rPr>
            </w:pPr>
            <w:r>
              <w:rPr>
                <w:rFonts w:ascii="Arial" w:cs="Arial" w:eastAsia="Arial" w:hAnsi="Arial"/>
                <w:sz w:val="18"/>
                <w:szCs w:val="18"/>
                <w:color w:val="auto"/>
              </w:rPr>
              <w:t>3.39%</w:t>
            </w:r>
          </w:p>
        </w:tc>
      </w:tr>
      <w:tr>
        <w:trPr>
          <w:trHeight w:val="264"/>
        </w:trPr>
        <w:tc>
          <w:tcPr>
            <w:tcW w:w="3520" w:type="dxa"/>
            <w:vAlign w:val="bottom"/>
            <w:shd w:val="clear" w:color="auto" w:fill="C0C0C0"/>
          </w:tcPr>
          <w:p>
            <w:pPr>
              <w:spacing w:after="0"/>
              <w:rPr>
                <w:sz w:val="20"/>
                <w:szCs w:val="20"/>
                <w:color w:val="auto"/>
              </w:rPr>
            </w:pPr>
            <w:r>
              <w:rPr>
                <w:rFonts w:ascii="Arial" w:cs="Arial" w:eastAsia="Arial" w:hAnsi="Arial"/>
                <w:sz w:val="18"/>
                <w:szCs w:val="18"/>
                <w:color w:val="auto"/>
              </w:rPr>
              <w:t>Yield on earning assets</w:t>
            </w:r>
            <w:r>
              <w:rPr>
                <w:rFonts w:ascii="Arial" w:cs="Arial" w:eastAsia="Arial" w:hAnsi="Arial"/>
                <w:sz w:val="13"/>
                <w:szCs w:val="13"/>
                <w:color w:val="auto"/>
              </w:rPr>
              <w:t>*</w:t>
            </w:r>
          </w:p>
        </w:tc>
        <w:tc>
          <w:tcPr>
            <w:tcW w:w="2740" w:type="dxa"/>
            <w:vAlign w:val="bottom"/>
            <w:shd w:val="clear" w:color="auto" w:fill="C0C0C0"/>
          </w:tcPr>
          <w:p>
            <w:pPr>
              <w:jc w:val="right"/>
              <w:ind w:right="352"/>
              <w:spacing w:after="0"/>
              <w:rPr>
                <w:sz w:val="20"/>
                <w:szCs w:val="20"/>
                <w:color w:val="auto"/>
              </w:rPr>
            </w:pPr>
            <w:r>
              <w:rPr>
                <w:rFonts w:ascii="Arial" w:cs="Arial" w:eastAsia="Arial" w:hAnsi="Arial"/>
                <w:sz w:val="18"/>
                <w:szCs w:val="18"/>
                <w:color w:val="auto"/>
              </w:rPr>
              <w:t>3.55%</w:t>
            </w:r>
          </w:p>
        </w:tc>
        <w:tc>
          <w:tcPr>
            <w:tcW w:w="1740" w:type="dxa"/>
            <w:vAlign w:val="bottom"/>
            <w:shd w:val="clear" w:color="auto" w:fill="C0C0C0"/>
          </w:tcPr>
          <w:p>
            <w:pPr>
              <w:jc w:val="right"/>
              <w:ind w:right="752"/>
              <w:spacing w:after="0"/>
              <w:rPr>
                <w:sz w:val="20"/>
                <w:szCs w:val="20"/>
                <w:color w:val="auto"/>
              </w:rPr>
            </w:pPr>
            <w:r>
              <w:rPr>
                <w:rFonts w:ascii="Arial" w:cs="Arial" w:eastAsia="Arial" w:hAnsi="Arial"/>
                <w:sz w:val="18"/>
                <w:szCs w:val="18"/>
                <w:color w:val="auto"/>
              </w:rPr>
              <w:t>3.56%</w:t>
            </w:r>
          </w:p>
        </w:tc>
        <w:tc>
          <w:tcPr>
            <w:tcW w:w="1720" w:type="dxa"/>
            <w:vAlign w:val="bottom"/>
            <w:shd w:val="clear" w:color="auto" w:fill="C0C0C0"/>
          </w:tcPr>
          <w:p>
            <w:pPr>
              <w:jc w:val="right"/>
              <w:ind w:right="352"/>
              <w:spacing w:after="0"/>
              <w:rPr>
                <w:sz w:val="20"/>
                <w:szCs w:val="20"/>
                <w:color w:val="auto"/>
              </w:rPr>
            </w:pPr>
            <w:r>
              <w:rPr>
                <w:rFonts w:ascii="Arial" w:cs="Arial" w:eastAsia="Arial" w:hAnsi="Arial"/>
                <w:sz w:val="18"/>
                <w:szCs w:val="18"/>
                <w:color w:val="auto"/>
              </w:rPr>
              <w:t>3.53%</w:t>
            </w:r>
          </w:p>
        </w:tc>
        <w:tc>
          <w:tcPr>
            <w:tcW w:w="1700" w:type="dxa"/>
            <w:vAlign w:val="bottom"/>
            <w:shd w:val="clear" w:color="auto" w:fill="C0C0C0"/>
          </w:tcPr>
          <w:p>
            <w:pPr>
              <w:jc w:val="right"/>
              <w:ind w:right="732"/>
              <w:spacing w:after="0"/>
              <w:rPr>
                <w:sz w:val="20"/>
                <w:szCs w:val="20"/>
                <w:color w:val="auto"/>
              </w:rPr>
            </w:pPr>
            <w:r>
              <w:rPr>
                <w:rFonts w:ascii="Arial" w:cs="Arial" w:eastAsia="Arial" w:hAnsi="Arial"/>
                <w:sz w:val="18"/>
                <w:szCs w:val="18"/>
                <w:color w:val="auto"/>
              </w:rPr>
              <w:t>3.55%</w:t>
            </w:r>
          </w:p>
        </w:tc>
      </w:tr>
      <w:tr>
        <w:trPr>
          <w:trHeight w:val="228"/>
        </w:trPr>
        <w:tc>
          <w:tcPr>
            <w:tcW w:w="3520" w:type="dxa"/>
            <w:vAlign w:val="bottom"/>
          </w:tcPr>
          <w:p>
            <w:pPr>
              <w:spacing w:after="0"/>
              <w:rPr>
                <w:sz w:val="20"/>
                <w:szCs w:val="20"/>
                <w:color w:val="auto"/>
              </w:rPr>
            </w:pPr>
            <w:r>
              <w:rPr>
                <w:rFonts w:ascii="Arial" w:cs="Arial" w:eastAsia="Arial" w:hAnsi="Arial"/>
                <w:sz w:val="18"/>
                <w:szCs w:val="18"/>
                <w:color w:val="auto"/>
              </w:rPr>
              <w:t>Rate on interest-bearing</w:t>
            </w:r>
          </w:p>
        </w:tc>
        <w:tc>
          <w:tcPr>
            <w:tcW w:w="27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43"/>
        </w:trPr>
        <w:tc>
          <w:tcPr>
            <w:tcW w:w="3520" w:type="dxa"/>
            <w:vAlign w:val="bottom"/>
          </w:tcPr>
          <w:p>
            <w:pPr>
              <w:ind w:left="280"/>
              <w:spacing w:after="0"/>
              <w:rPr>
                <w:sz w:val="20"/>
                <w:szCs w:val="20"/>
                <w:color w:val="auto"/>
              </w:rPr>
            </w:pPr>
            <w:r>
              <w:rPr>
                <w:rFonts w:ascii="Arial" w:cs="Arial" w:eastAsia="Arial" w:hAnsi="Arial"/>
                <w:sz w:val="18"/>
                <w:szCs w:val="18"/>
                <w:color w:val="auto"/>
              </w:rPr>
              <w:t>liabilities</w:t>
            </w:r>
          </w:p>
        </w:tc>
        <w:tc>
          <w:tcPr>
            <w:tcW w:w="2740" w:type="dxa"/>
            <w:vAlign w:val="bottom"/>
          </w:tcPr>
          <w:p>
            <w:pPr>
              <w:jc w:val="right"/>
              <w:ind w:right="352"/>
              <w:spacing w:after="0"/>
              <w:rPr>
                <w:sz w:val="20"/>
                <w:szCs w:val="20"/>
                <w:color w:val="auto"/>
              </w:rPr>
            </w:pPr>
            <w:r>
              <w:rPr>
                <w:rFonts w:ascii="Arial" w:cs="Arial" w:eastAsia="Arial" w:hAnsi="Arial"/>
                <w:sz w:val="18"/>
                <w:szCs w:val="18"/>
                <w:color w:val="auto"/>
              </w:rPr>
              <w:t>.50%</w:t>
            </w:r>
          </w:p>
        </w:tc>
        <w:tc>
          <w:tcPr>
            <w:tcW w:w="1740" w:type="dxa"/>
            <w:vAlign w:val="bottom"/>
          </w:tcPr>
          <w:p>
            <w:pPr>
              <w:jc w:val="right"/>
              <w:ind w:right="752"/>
              <w:spacing w:after="0"/>
              <w:rPr>
                <w:sz w:val="20"/>
                <w:szCs w:val="20"/>
                <w:color w:val="auto"/>
              </w:rPr>
            </w:pPr>
            <w:r>
              <w:rPr>
                <w:rFonts w:ascii="Arial" w:cs="Arial" w:eastAsia="Arial" w:hAnsi="Arial"/>
                <w:sz w:val="18"/>
                <w:szCs w:val="18"/>
                <w:color w:val="auto"/>
              </w:rPr>
              <w:t>.48%</w:t>
            </w:r>
          </w:p>
        </w:tc>
        <w:tc>
          <w:tcPr>
            <w:tcW w:w="1720" w:type="dxa"/>
            <w:vAlign w:val="bottom"/>
          </w:tcPr>
          <w:p>
            <w:pPr>
              <w:jc w:val="right"/>
              <w:ind w:right="352"/>
              <w:spacing w:after="0"/>
              <w:rPr>
                <w:sz w:val="20"/>
                <w:szCs w:val="20"/>
                <w:color w:val="auto"/>
              </w:rPr>
            </w:pPr>
            <w:r>
              <w:rPr>
                <w:rFonts w:ascii="Arial" w:cs="Arial" w:eastAsia="Arial" w:hAnsi="Arial"/>
                <w:sz w:val="18"/>
                <w:szCs w:val="18"/>
                <w:color w:val="auto"/>
              </w:rPr>
              <w:t>.50%</w:t>
            </w:r>
          </w:p>
        </w:tc>
        <w:tc>
          <w:tcPr>
            <w:tcW w:w="1700" w:type="dxa"/>
            <w:vAlign w:val="bottom"/>
          </w:tcPr>
          <w:p>
            <w:pPr>
              <w:jc w:val="right"/>
              <w:ind w:right="732"/>
              <w:spacing w:after="0"/>
              <w:rPr>
                <w:sz w:val="20"/>
                <w:szCs w:val="20"/>
                <w:color w:val="auto"/>
              </w:rPr>
            </w:pPr>
            <w:r>
              <w:rPr>
                <w:rFonts w:ascii="Arial" w:cs="Arial" w:eastAsia="Arial" w:hAnsi="Arial"/>
                <w:sz w:val="18"/>
                <w:szCs w:val="18"/>
                <w:color w:val="auto"/>
              </w:rPr>
              <w:t>.48%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*Presented on a tax-equivalent basis assuming a tax rate of 35%.</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Second Quarter of 2017 compared to Second Quarter of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Second Quarter of 2017 average earning assets increased $43,490,000, or 3.4%, compared to the same period in the prior year.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 w:name="page21"/>
    <w:bookmarkEnd w:id="20"/>
    <w:p>
      <w:pPr>
        <w:jc w:val="both"/>
        <w:spacing w:after="0" w:line="306" w:lineRule="auto"/>
        <w:rPr>
          <w:sz w:val="20"/>
          <w:szCs w:val="20"/>
          <w:color w:val="auto"/>
        </w:rPr>
      </w:pPr>
      <w:r>
        <w:rPr>
          <w:rFonts w:ascii="Arial" w:cs="Arial" w:eastAsia="Arial" w:hAnsi="Arial"/>
          <w:sz w:val="16"/>
          <w:szCs w:val="16"/>
          <w:color w:val="auto"/>
        </w:rPr>
        <w:t>Average investment securities increased $73,864,000, or 21.4% and average federal funds sold and other short-term investments increased $32,348,000, or 27.1% for the Second Quarter of 2017 as compared to the Second Quarter of 2016. These increases were partially offset by interest-bearing cash deposits decreasing $36,535,000, or 29.5% and loans decreasing $24,708,000, or 3.6%. This net increase was the result of additional balances from funding sources.</w:t>
      </w:r>
    </w:p>
    <w:p>
      <w:pPr>
        <w:spacing w:after="0" w:line="16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Average accounts and drafts payable balances for the Second Quarter of 2017 increased $62,075,000, or 9.7%, as compared to the Second Quarter of 2016. This was partially offset by a decrease in total average interest-bearing deposits for the Second Quarter of 2017 of $46,090,000, or 10.8%, compared to the Second Quarter of 2016. Average interest-bearing demand deposits decreased $35,816,000, or 10.3% and time deposits decreased $5,911,000, or 9.7% for the Second Quarter of 2017.</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Net interest margin and yield on earning assets remained stable in the Second Quarter of 2017 compared to the Second Quarter of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First Half of 2017 compared to First Half of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First Half of 2017 average earning assets increased $48,654,000, or 3.8%, compared to the same period in the prior year.</w:t>
      </w:r>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Average investment securities increased $69,107,000, or 20.1% and average federal funds sold and other short-term investments increased $29,578,000, or 25.8% for the First Half of 2017 as compared to the First Half of 2016. These increases were partially offset by interest-bearing cash deposits decreasing $32,858,000, or 25.2% and loans decreasing $16,412,000, or 2.4%. This net increase was the result of additional balances from funding sources.</w:t>
      </w:r>
    </w:p>
    <w:p>
      <w:pPr>
        <w:spacing w:after="0" w:line="16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Average accounts and drafts payable balances for the First Half of 2017 increased $59,421,000, or 9.5% as compared to the First Half of 2016. This was partially offset by a decrease in total average interest-bearing deposits for the First Half of 2017 of $39,462,000, or 9.3% compared to the First Half of 2016. For the First Half of 2017, average interest-bearing demand deposits decreased $34,846,000, or 10.1% and time deposits decreased $5,628,000, or 9.2%.</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Net interest margin and yield on earning assets remained relatively stable in the First Half of 2017 compared to the First Half of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on the changes in net interest income, please refer to the tables that follow.</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of Assets, Liabilities and Shareholders’ Equity; Interest Rate and Interest Differential</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tables show the condensed average balance sheets for each of the periods reported, the tax-equivalent interest income and expense on each category of interest-earning assets and interest-bearing liabilities, and the average yield on such categories of interest-earning assets and the average rates paid on such categories of interest-bearing liabilities for each of the periods reported.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7"/>
        </w:trPr>
        <w:tc>
          <w:tcPr>
            <w:tcW w:w="49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Second Quarter of 2017</w:t>
            </w:r>
          </w:p>
        </w:tc>
        <w:tc>
          <w:tcPr>
            <w:tcW w:w="6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Second Quarter of 2016</w:t>
            </w:r>
          </w:p>
        </w:tc>
        <w:tc>
          <w:tcPr>
            <w:tcW w:w="600" w:type="dxa"/>
            <w:vAlign w:val="bottom"/>
            <w:tcBorders>
              <w:bottom w:val="single" w:sz="8" w:color="auto"/>
            </w:tcBorders>
          </w:tcPr>
          <w:p>
            <w:pPr>
              <w:spacing w:after="0"/>
              <w:rPr>
                <w:sz w:val="20"/>
                <w:szCs w:val="20"/>
                <w:color w:val="auto"/>
              </w:rPr>
            </w:pPr>
          </w:p>
        </w:tc>
      </w:tr>
      <w:tr>
        <w:trPr>
          <w:trHeight w:val="228"/>
        </w:trPr>
        <w:tc>
          <w:tcPr>
            <w:tcW w:w="4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ind w:left="40"/>
              <w:spacing w:after="0"/>
              <w:rPr>
                <w:sz w:val="20"/>
                <w:szCs w:val="20"/>
                <w:color w:val="auto"/>
              </w:rPr>
            </w:pPr>
            <w:r>
              <w:rPr>
                <w:rFonts w:ascii="Arial" w:cs="Arial" w:eastAsia="Arial" w:hAnsi="Arial"/>
                <w:sz w:val="18"/>
                <w:szCs w:val="18"/>
                <w:b w:val="1"/>
                <w:bCs w:val="1"/>
                <w:color w:val="auto"/>
              </w:rPr>
              <w:t>Interest</w:t>
            </w: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Arial" w:cs="Arial" w:eastAsia="Arial" w:hAnsi="Arial"/>
                <w:sz w:val="18"/>
                <w:szCs w:val="18"/>
                <w:b w:val="1"/>
                <w:bCs w:val="1"/>
                <w:color w:val="auto"/>
              </w:rPr>
              <w:t>Interest</w:t>
            </w:r>
          </w:p>
        </w:tc>
        <w:tc>
          <w:tcPr>
            <w:tcW w:w="600" w:type="dxa"/>
            <w:vAlign w:val="bottom"/>
          </w:tcPr>
          <w:p>
            <w:pPr>
              <w:spacing w:after="0"/>
              <w:rPr>
                <w:sz w:val="19"/>
                <w:szCs w:val="19"/>
                <w:color w:val="auto"/>
              </w:rPr>
            </w:pPr>
          </w:p>
        </w:tc>
      </w:tr>
      <w:tr>
        <w:trPr>
          <w:trHeight w:val="242"/>
        </w:trPr>
        <w:tc>
          <w:tcPr>
            <w:tcW w:w="4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272"/>
              <w:spacing w:after="0"/>
              <w:rPr>
                <w:sz w:val="20"/>
                <w:szCs w:val="20"/>
                <w:color w:val="auto"/>
              </w:rPr>
            </w:pPr>
            <w:r>
              <w:rPr>
                <w:rFonts w:ascii="Arial" w:cs="Arial" w:eastAsia="Arial" w:hAnsi="Arial"/>
                <w:sz w:val="18"/>
                <w:szCs w:val="18"/>
                <w:b w:val="1"/>
                <w:bCs w:val="1"/>
                <w:color w:val="auto"/>
                <w:w w:val="95"/>
              </w:rPr>
              <w:t>Average</w:t>
            </w:r>
          </w:p>
        </w:tc>
        <w:tc>
          <w:tcPr>
            <w:tcW w:w="260" w:type="dxa"/>
            <w:vAlign w:val="bottom"/>
          </w:tcPr>
          <w:p>
            <w:pPr>
              <w:spacing w:after="0"/>
              <w:rPr>
                <w:sz w:val="21"/>
                <w:szCs w:val="21"/>
                <w:color w:val="auto"/>
              </w:rPr>
            </w:pPr>
          </w:p>
        </w:tc>
        <w:tc>
          <w:tcPr>
            <w:tcW w:w="1080" w:type="dxa"/>
            <w:vAlign w:val="bottom"/>
          </w:tcPr>
          <w:p>
            <w:pPr>
              <w:ind w:left="40"/>
              <w:spacing w:after="0"/>
              <w:rPr>
                <w:sz w:val="20"/>
                <w:szCs w:val="20"/>
                <w:color w:val="auto"/>
              </w:rPr>
            </w:pPr>
            <w:r>
              <w:rPr>
                <w:rFonts w:ascii="Arial" w:cs="Arial" w:eastAsia="Arial" w:hAnsi="Arial"/>
                <w:sz w:val="18"/>
                <w:szCs w:val="18"/>
                <w:b w:val="1"/>
                <w:bCs w:val="1"/>
                <w:color w:val="auto"/>
              </w:rPr>
              <w:t>Income/</w:t>
            </w:r>
          </w:p>
        </w:tc>
        <w:tc>
          <w:tcPr>
            <w:tcW w:w="8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Yield/</w:t>
            </w:r>
          </w:p>
        </w:tc>
        <w:tc>
          <w:tcPr>
            <w:tcW w:w="160" w:type="dxa"/>
            <w:vAlign w:val="bottom"/>
          </w:tcPr>
          <w:p>
            <w:pPr>
              <w:spacing w:after="0"/>
              <w:rPr>
                <w:sz w:val="21"/>
                <w:szCs w:val="21"/>
                <w:color w:val="auto"/>
              </w:rPr>
            </w:pPr>
          </w:p>
        </w:tc>
        <w:tc>
          <w:tcPr>
            <w:tcW w:w="1060" w:type="dxa"/>
            <w:vAlign w:val="bottom"/>
          </w:tcPr>
          <w:p>
            <w:pPr>
              <w:jc w:val="right"/>
              <w:ind w:right="272"/>
              <w:spacing w:after="0"/>
              <w:rPr>
                <w:sz w:val="20"/>
                <w:szCs w:val="20"/>
                <w:color w:val="auto"/>
              </w:rPr>
            </w:pPr>
            <w:r>
              <w:rPr>
                <w:rFonts w:ascii="Arial" w:cs="Arial" w:eastAsia="Arial" w:hAnsi="Arial"/>
                <w:sz w:val="18"/>
                <w:szCs w:val="18"/>
                <w:b w:val="1"/>
                <w:bCs w:val="1"/>
                <w:color w:val="auto"/>
                <w:w w:val="95"/>
              </w:rPr>
              <w:t>Average</w:t>
            </w:r>
          </w:p>
        </w:tc>
        <w:tc>
          <w:tcPr>
            <w:tcW w:w="240" w:type="dxa"/>
            <w:vAlign w:val="bottom"/>
          </w:tcPr>
          <w:p>
            <w:pPr>
              <w:spacing w:after="0"/>
              <w:rPr>
                <w:sz w:val="21"/>
                <w:szCs w:val="21"/>
                <w:color w:val="auto"/>
              </w:rPr>
            </w:pPr>
          </w:p>
        </w:tc>
        <w:tc>
          <w:tcPr>
            <w:tcW w:w="1020" w:type="dxa"/>
            <w:vAlign w:val="bottom"/>
          </w:tcPr>
          <w:p>
            <w:pPr>
              <w:ind w:left="20"/>
              <w:spacing w:after="0"/>
              <w:rPr>
                <w:sz w:val="20"/>
                <w:szCs w:val="20"/>
                <w:color w:val="auto"/>
              </w:rPr>
            </w:pPr>
            <w:r>
              <w:rPr>
                <w:rFonts w:ascii="Arial" w:cs="Arial" w:eastAsia="Arial" w:hAnsi="Arial"/>
                <w:sz w:val="18"/>
                <w:szCs w:val="18"/>
                <w:b w:val="1"/>
                <w:bCs w:val="1"/>
                <w:color w:val="auto"/>
              </w:rPr>
              <w:t>Income/</w:t>
            </w:r>
          </w:p>
        </w:tc>
        <w:tc>
          <w:tcPr>
            <w:tcW w:w="600" w:type="dxa"/>
            <w:vAlign w:val="bottom"/>
          </w:tcPr>
          <w:p>
            <w:pPr>
              <w:jc w:val="right"/>
              <w:ind w:right="12"/>
              <w:spacing w:after="0"/>
              <w:rPr>
                <w:sz w:val="20"/>
                <w:szCs w:val="20"/>
                <w:color w:val="auto"/>
              </w:rPr>
            </w:pPr>
            <w:r>
              <w:rPr>
                <w:rFonts w:ascii="Arial" w:cs="Arial" w:eastAsia="Arial" w:hAnsi="Arial"/>
                <w:sz w:val="18"/>
                <w:szCs w:val="18"/>
                <w:b w:val="1"/>
                <w:bCs w:val="1"/>
                <w:color w:val="auto"/>
                <w:w w:val="99"/>
              </w:rPr>
              <w:t>Yield/</w:t>
            </w:r>
          </w:p>
        </w:tc>
      </w:tr>
      <w:tr>
        <w:trPr>
          <w:trHeight w:val="252"/>
        </w:trPr>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w w:val="95"/>
              </w:rPr>
              <w:t>Balance</w:t>
            </w: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Expense</w:t>
            </w:r>
          </w:p>
        </w:tc>
        <w:tc>
          <w:tcPr>
            <w:tcW w:w="8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b w:val="1"/>
                <w:bCs w:val="1"/>
                <w:color w:val="auto"/>
                <w:w w:val="87"/>
              </w:rPr>
              <w:t>Rate</w:t>
            </w: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w w:val="98"/>
              </w:rPr>
              <w:t>Balance</w:t>
            </w: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Expense</w:t>
            </w:r>
          </w:p>
        </w:tc>
        <w:tc>
          <w:tcPr>
            <w:tcW w:w="6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Rate</w:t>
            </w:r>
          </w:p>
        </w:tc>
      </w:tr>
      <w:tr>
        <w:trPr>
          <w:trHeight w:val="311"/>
        </w:trPr>
        <w:tc>
          <w:tcPr>
            <w:tcW w:w="4900" w:type="dxa"/>
            <w:vAlign w:val="bottom"/>
            <w:shd w:val="clear" w:color="auto" w:fill="C0C0C0"/>
          </w:tcPr>
          <w:p>
            <w:pPr>
              <w:spacing w:after="0" w:line="310" w:lineRule="exact"/>
              <w:rPr>
                <w:sz w:val="20"/>
                <w:szCs w:val="20"/>
                <w:color w:val="auto"/>
              </w:rPr>
            </w:pPr>
            <w:r>
              <w:rPr>
                <w:rFonts w:ascii="Arial" w:cs="Arial" w:eastAsia="Arial" w:hAnsi="Arial"/>
                <w:sz w:val="18"/>
                <w:szCs w:val="18"/>
                <w:b w:val="1"/>
                <w:bCs w:val="1"/>
                <w:color w:val="auto"/>
              </w:rPr>
              <w:t>Assets</w:t>
            </w:r>
            <w:r>
              <w:rPr>
                <w:rFonts w:ascii="Arial" w:cs="Arial" w:eastAsia="Arial" w:hAnsi="Arial"/>
                <w:sz w:val="29"/>
                <w:szCs w:val="29"/>
                <w:color w:val="auto"/>
                <w:vertAlign w:val="superscript"/>
              </w:rPr>
              <w:t>1</w:t>
            </w:r>
          </w:p>
        </w:tc>
        <w:tc>
          <w:tcPr>
            <w:tcW w:w="160" w:type="dxa"/>
            <w:vAlign w:val="bottom"/>
            <w:shd w:val="clear" w:color="auto" w:fill="C0C0C0"/>
          </w:tcPr>
          <w:p>
            <w:pPr>
              <w:spacing w:after="0"/>
              <w:rPr>
                <w:sz w:val="24"/>
                <w:szCs w:val="24"/>
                <w:color w:val="auto"/>
              </w:rPr>
            </w:pPr>
          </w:p>
        </w:tc>
        <w:tc>
          <w:tcPr>
            <w:tcW w:w="1060" w:type="dxa"/>
            <w:vAlign w:val="bottom"/>
            <w:shd w:val="clear" w:color="auto" w:fill="C0C0C0"/>
          </w:tcPr>
          <w:p>
            <w:pPr>
              <w:spacing w:after="0"/>
              <w:rPr>
                <w:sz w:val="24"/>
                <w:szCs w:val="24"/>
                <w:color w:val="auto"/>
              </w:rPr>
            </w:pPr>
          </w:p>
        </w:tc>
        <w:tc>
          <w:tcPr>
            <w:tcW w:w="260" w:type="dxa"/>
            <w:vAlign w:val="bottom"/>
            <w:shd w:val="clear" w:color="auto" w:fill="C0C0C0"/>
          </w:tcPr>
          <w:p>
            <w:pPr>
              <w:spacing w:after="0"/>
              <w:rPr>
                <w:sz w:val="24"/>
                <w:szCs w:val="24"/>
                <w:color w:val="auto"/>
              </w:rPr>
            </w:pPr>
          </w:p>
        </w:tc>
        <w:tc>
          <w:tcPr>
            <w:tcW w:w="1080" w:type="dxa"/>
            <w:vAlign w:val="bottom"/>
            <w:shd w:val="clear" w:color="auto" w:fill="C0C0C0"/>
          </w:tcPr>
          <w:p>
            <w:pPr>
              <w:spacing w:after="0"/>
              <w:rPr>
                <w:sz w:val="24"/>
                <w:szCs w:val="24"/>
                <w:color w:val="auto"/>
              </w:rPr>
            </w:pPr>
          </w:p>
        </w:tc>
        <w:tc>
          <w:tcPr>
            <w:tcW w:w="620" w:type="dxa"/>
            <w:vAlign w:val="bottom"/>
            <w:shd w:val="clear" w:color="auto" w:fill="C0C0C0"/>
          </w:tcPr>
          <w:p>
            <w:pPr>
              <w:spacing w:after="0"/>
              <w:rPr>
                <w:sz w:val="24"/>
                <w:szCs w:val="24"/>
                <w:color w:val="auto"/>
              </w:rPr>
            </w:pPr>
          </w:p>
        </w:tc>
        <w:tc>
          <w:tcPr>
            <w:tcW w:w="260" w:type="dxa"/>
            <w:vAlign w:val="bottom"/>
            <w:shd w:val="clear" w:color="auto" w:fill="C0C0C0"/>
          </w:tcPr>
          <w:p>
            <w:pPr>
              <w:spacing w:after="0"/>
              <w:rPr>
                <w:sz w:val="24"/>
                <w:szCs w:val="24"/>
                <w:color w:val="auto"/>
              </w:rPr>
            </w:pPr>
          </w:p>
        </w:tc>
        <w:tc>
          <w:tcPr>
            <w:tcW w:w="160" w:type="dxa"/>
            <w:vAlign w:val="bottom"/>
            <w:shd w:val="clear" w:color="auto" w:fill="C0C0C0"/>
          </w:tcPr>
          <w:p>
            <w:pPr>
              <w:spacing w:after="0"/>
              <w:rPr>
                <w:sz w:val="24"/>
                <w:szCs w:val="24"/>
                <w:color w:val="auto"/>
              </w:rPr>
            </w:pPr>
          </w:p>
        </w:tc>
        <w:tc>
          <w:tcPr>
            <w:tcW w:w="1060" w:type="dxa"/>
            <w:vAlign w:val="bottom"/>
            <w:shd w:val="clear" w:color="auto" w:fill="C0C0C0"/>
          </w:tcPr>
          <w:p>
            <w:pPr>
              <w:spacing w:after="0"/>
              <w:rPr>
                <w:sz w:val="24"/>
                <w:szCs w:val="24"/>
                <w:color w:val="auto"/>
              </w:rPr>
            </w:pPr>
          </w:p>
        </w:tc>
        <w:tc>
          <w:tcPr>
            <w:tcW w:w="240" w:type="dxa"/>
            <w:vAlign w:val="bottom"/>
            <w:shd w:val="clear" w:color="auto" w:fill="C0C0C0"/>
          </w:tcPr>
          <w:p>
            <w:pPr>
              <w:spacing w:after="0"/>
              <w:rPr>
                <w:sz w:val="24"/>
                <w:szCs w:val="24"/>
                <w:color w:val="auto"/>
              </w:rPr>
            </w:pPr>
          </w:p>
        </w:tc>
        <w:tc>
          <w:tcPr>
            <w:tcW w:w="1020" w:type="dxa"/>
            <w:vAlign w:val="bottom"/>
            <w:shd w:val="clear" w:color="auto" w:fill="C0C0C0"/>
          </w:tcPr>
          <w:p>
            <w:pPr>
              <w:spacing w:after="0"/>
              <w:rPr>
                <w:sz w:val="24"/>
                <w:szCs w:val="24"/>
                <w:color w:val="auto"/>
              </w:rPr>
            </w:pPr>
          </w:p>
        </w:tc>
        <w:tc>
          <w:tcPr>
            <w:tcW w:w="600" w:type="dxa"/>
            <w:vAlign w:val="bottom"/>
            <w:shd w:val="clear" w:color="auto" w:fill="C0C0C0"/>
          </w:tcPr>
          <w:p>
            <w:pPr>
              <w:spacing w:after="0"/>
              <w:rPr>
                <w:sz w:val="24"/>
                <w:szCs w:val="24"/>
                <w:color w:val="auto"/>
              </w:rPr>
            </w:pPr>
          </w:p>
        </w:tc>
      </w:tr>
      <w:tr>
        <w:trPr>
          <w:trHeight w:val="235"/>
        </w:trPr>
        <w:tc>
          <w:tcPr>
            <w:tcW w:w="4900" w:type="dxa"/>
            <w:vAlign w:val="bottom"/>
          </w:tcPr>
          <w:p>
            <w:pPr>
              <w:spacing w:after="0"/>
              <w:rPr>
                <w:sz w:val="20"/>
                <w:szCs w:val="20"/>
                <w:color w:val="auto"/>
              </w:rPr>
            </w:pPr>
            <w:r>
              <w:rPr>
                <w:rFonts w:ascii="Arial" w:cs="Arial" w:eastAsia="Arial" w:hAnsi="Arial"/>
                <w:sz w:val="18"/>
                <w:szCs w:val="18"/>
                <w:color w:val="auto"/>
              </w:rPr>
              <w:t>Earning assets</w:t>
            </w: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318"/>
        </w:trPr>
        <w:tc>
          <w:tcPr>
            <w:tcW w:w="4900" w:type="dxa"/>
            <w:vAlign w:val="bottom"/>
            <w:shd w:val="clear" w:color="auto" w:fill="C0C0C0"/>
          </w:tcPr>
          <w:p>
            <w:pPr>
              <w:spacing w:after="0" w:line="319" w:lineRule="exact"/>
              <w:rPr>
                <w:sz w:val="20"/>
                <w:szCs w:val="20"/>
                <w:color w:val="auto"/>
              </w:rPr>
            </w:pPr>
            <w:r>
              <w:rPr>
                <w:rFonts w:ascii="Arial" w:cs="Arial" w:eastAsia="Arial" w:hAnsi="Arial"/>
                <w:sz w:val="18"/>
                <w:szCs w:val="18"/>
                <w:color w:val="auto"/>
              </w:rPr>
              <w:t>Loans</w:t>
            </w:r>
            <w:r>
              <w:rPr>
                <w:rFonts w:ascii="Arial" w:cs="Arial" w:eastAsia="Arial" w:hAnsi="Arial"/>
                <w:sz w:val="29"/>
                <w:szCs w:val="29"/>
                <w:color w:val="auto"/>
                <w:vertAlign w:val="superscript"/>
              </w:rPr>
              <w:t>2, 3</w:t>
            </w:r>
            <w:r>
              <w:rPr>
                <w:rFonts w:ascii="Arial" w:cs="Arial" w:eastAsia="Arial" w:hAnsi="Arial"/>
                <w:sz w:val="18"/>
                <w:szCs w:val="18"/>
                <w:color w:val="auto"/>
              </w:rPr>
              <w:t>:</w:t>
            </w:r>
          </w:p>
        </w:tc>
        <w:tc>
          <w:tcPr>
            <w:tcW w:w="160" w:type="dxa"/>
            <w:vAlign w:val="bottom"/>
            <w:shd w:val="clear" w:color="auto" w:fill="C0C0C0"/>
          </w:tcPr>
          <w:p>
            <w:pPr>
              <w:spacing w:after="0"/>
              <w:rPr>
                <w:sz w:val="24"/>
                <w:szCs w:val="24"/>
                <w:color w:val="auto"/>
              </w:rPr>
            </w:pPr>
          </w:p>
        </w:tc>
        <w:tc>
          <w:tcPr>
            <w:tcW w:w="1060" w:type="dxa"/>
            <w:vAlign w:val="bottom"/>
            <w:shd w:val="clear" w:color="auto" w:fill="C0C0C0"/>
          </w:tcPr>
          <w:p>
            <w:pPr>
              <w:spacing w:after="0"/>
              <w:rPr>
                <w:sz w:val="24"/>
                <w:szCs w:val="24"/>
                <w:color w:val="auto"/>
              </w:rPr>
            </w:pPr>
          </w:p>
        </w:tc>
        <w:tc>
          <w:tcPr>
            <w:tcW w:w="260" w:type="dxa"/>
            <w:vAlign w:val="bottom"/>
            <w:shd w:val="clear" w:color="auto" w:fill="C0C0C0"/>
          </w:tcPr>
          <w:p>
            <w:pPr>
              <w:spacing w:after="0"/>
              <w:rPr>
                <w:sz w:val="24"/>
                <w:szCs w:val="24"/>
                <w:color w:val="auto"/>
              </w:rPr>
            </w:pPr>
          </w:p>
        </w:tc>
        <w:tc>
          <w:tcPr>
            <w:tcW w:w="1080" w:type="dxa"/>
            <w:vAlign w:val="bottom"/>
            <w:shd w:val="clear" w:color="auto" w:fill="C0C0C0"/>
          </w:tcPr>
          <w:p>
            <w:pPr>
              <w:spacing w:after="0"/>
              <w:rPr>
                <w:sz w:val="24"/>
                <w:szCs w:val="24"/>
                <w:color w:val="auto"/>
              </w:rPr>
            </w:pPr>
          </w:p>
        </w:tc>
        <w:tc>
          <w:tcPr>
            <w:tcW w:w="620" w:type="dxa"/>
            <w:vAlign w:val="bottom"/>
            <w:shd w:val="clear" w:color="auto" w:fill="C0C0C0"/>
          </w:tcPr>
          <w:p>
            <w:pPr>
              <w:spacing w:after="0"/>
              <w:rPr>
                <w:sz w:val="24"/>
                <w:szCs w:val="24"/>
                <w:color w:val="auto"/>
              </w:rPr>
            </w:pPr>
          </w:p>
        </w:tc>
        <w:tc>
          <w:tcPr>
            <w:tcW w:w="260" w:type="dxa"/>
            <w:vAlign w:val="bottom"/>
            <w:shd w:val="clear" w:color="auto" w:fill="C0C0C0"/>
          </w:tcPr>
          <w:p>
            <w:pPr>
              <w:spacing w:after="0"/>
              <w:rPr>
                <w:sz w:val="24"/>
                <w:szCs w:val="24"/>
                <w:color w:val="auto"/>
              </w:rPr>
            </w:pPr>
          </w:p>
        </w:tc>
        <w:tc>
          <w:tcPr>
            <w:tcW w:w="160" w:type="dxa"/>
            <w:vAlign w:val="bottom"/>
            <w:shd w:val="clear" w:color="auto" w:fill="C0C0C0"/>
          </w:tcPr>
          <w:p>
            <w:pPr>
              <w:spacing w:after="0"/>
              <w:rPr>
                <w:sz w:val="24"/>
                <w:szCs w:val="24"/>
                <w:color w:val="auto"/>
              </w:rPr>
            </w:pPr>
          </w:p>
        </w:tc>
        <w:tc>
          <w:tcPr>
            <w:tcW w:w="1060" w:type="dxa"/>
            <w:vAlign w:val="bottom"/>
            <w:shd w:val="clear" w:color="auto" w:fill="C0C0C0"/>
          </w:tcPr>
          <w:p>
            <w:pPr>
              <w:spacing w:after="0"/>
              <w:rPr>
                <w:sz w:val="24"/>
                <w:szCs w:val="24"/>
                <w:color w:val="auto"/>
              </w:rPr>
            </w:pPr>
          </w:p>
        </w:tc>
        <w:tc>
          <w:tcPr>
            <w:tcW w:w="240" w:type="dxa"/>
            <w:vAlign w:val="bottom"/>
            <w:shd w:val="clear" w:color="auto" w:fill="C0C0C0"/>
          </w:tcPr>
          <w:p>
            <w:pPr>
              <w:spacing w:after="0"/>
              <w:rPr>
                <w:sz w:val="24"/>
                <w:szCs w:val="24"/>
                <w:color w:val="auto"/>
              </w:rPr>
            </w:pPr>
          </w:p>
        </w:tc>
        <w:tc>
          <w:tcPr>
            <w:tcW w:w="1020" w:type="dxa"/>
            <w:vAlign w:val="bottom"/>
            <w:shd w:val="clear" w:color="auto" w:fill="C0C0C0"/>
          </w:tcPr>
          <w:p>
            <w:pPr>
              <w:spacing w:after="0"/>
              <w:rPr>
                <w:sz w:val="24"/>
                <w:szCs w:val="24"/>
                <w:color w:val="auto"/>
              </w:rPr>
            </w:pPr>
          </w:p>
        </w:tc>
        <w:tc>
          <w:tcPr>
            <w:tcW w:w="600" w:type="dxa"/>
            <w:vAlign w:val="bottom"/>
            <w:shd w:val="clear" w:color="auto" w:fill="C0C0C0"/>
          </w:tcPr>
          <w:p>
            <w:pPr>
              <w:spacing w:after="0"/>
              <w:rPr>
                <w:sz w:val="24"/>
                <w:szCs w:val="24"/>
                <w:color w:val="auto"/>
              </w:rPr>
            </w:pPr>
          </w:p>
        </w:tc>
      </w:tr>
      <w:tr>
        <w:trPr>
          <w:trHeight w:val="235"/>
        </w:trPr>
        <w:tc>
          <w:tcPr>
            <w:tcW w:w="4900" w:type="dxa"/>
            <w:vAlign w:val="bottom"/>
          </w:tcPr>
          <w:p>
            <w:pPr>
              <w:ind w:left="280"/>
              <w:spacing w:after="0"/>
              <w:rPr>
                <w:sz w:val="20"/>
                <w:szCs w:val="20"/>
                <w:color w:val="auto"/>
              </w:rPr>
            </w:pPr>
            <w:r>
              <w:rPr>
                <w:rFonts w:ascii="Arial" w:cs="Arial" w:eastAsia="Arial" w:hAnsi="Arial"/>
                <w:sz w:val="18"/>
                <w:szCs w:val="18"/>
                <w:color w:val="auto"/>
              </w:rPr>
              <w:t>Taxable</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662,763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12"/>
              <w:spacing w:after="0"/>
              <w:rPr>
                <w:sz w:val="20"/>
                <w:szCs w:val="20"/>
                <w:color w:val="auto"/>
              </w:rPr>
            </w:pPr>
            <w:r>
              <w:rPr>
                <w:rFonts w:ascii="Arial" w:cs="Arial" w:eastAsia="Arial" w:hAnsi="Arial"/>
                <w:sz w:val="18"/>
                <w:szCs w:val="18"/>
                <w:color w:val="auto"/>
              </w:rPr>
              <w:t>7,071</w:t>
            </w:r>
          </w:p>
        </w:tc>
        <w:tc>
          <w:tcPr>
            <w:tcW w:w="620" w:type="dxa"/>
            <w:vAlign w:val="bottom"/>
          </w:tcPr>
          <w:p>
            <w:pPr>
              <w:jc w:val="right"/>
              <w:spacing w:after="0"/>
              <w:rPr>
                <w:sz w:val="20"/>
                <w:szCs w:val="20"/>
                <w:color w:val="auto"/>
              </w:rPr>
            </w:pPr>
            <w:r>
              <w:rPr>
                <w:rFonts w:ascii="Arial" w:cs="Arial" w:eastAsia="Arial" w:hAnsi="Arial"/>
                <w:sz w:val="18"/>
                <w:szCs w:val="18"/>
                <w:color w:val="auto"/>
              </w:rPr>
              <w:t>4.28%</w:t>
            </w:r>
          </w:p>
        </w:tc>
        <w:tc>
          <w:tcPr>
            <w:tcW w:w="260" w:type="dxa"/>
            <w:vAlign w:val="bottom"/>
          </w:tcPr>
          <w:p>
            <w:pPr>
              <w:spacing w:after="0"/>
              <w:rPr>
                <w:sz w:val="20"/>
                <w:szCs w:val="20"/>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674,227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12"/>
              <w:spacing w:after="0"/>
              <w:rPr>
                <w:sz w:val="20"/>
                <w:szCs w:val="20"/>
                <w:color w:val="auto"/>
              </w:rPr>
            </w:pPr>
            <w:r>
              <w:rPr>
                <w:rFonts w:ascii="Arial" w:cs="Arial" w:eastAsia="Arial" w:hAnsi="Arial"/>
                <w:sz w:val="18"/>
                <w:szCs w:val="18"/>
                <w:color w:val="auto"/>
              </w:rPr>
              <w:t>7,173</w:t>
            </w:r>
          </w:p>
        </w:tc>
        <w:tc>
          <w:tcPr>
            <w:tcW w:w="600" w:type="dxa"/>
            <w:vAlign w:val="bottom"/>
          </w:tcPr>
          <w:p>
            <w:pPr>
              <w:jc w:val="right"/>
              <w:spacing w:after="0"/>
              <w:rPr>
                <w:sz w:val="20"/>
                <w:szCs w:val="20"/>
                <w:color w:val="auto"/>
              </w:rPr>
            </w:pPr>
            <w:r>
              <w:rPr>
                <w:rFonts w:ascii="Arial" w:cs="Arial" w:eastAsia="Arial" w:hAnsi="Arial"/>
                <w:sz w:val="18"/>
                <w:szCs w:val="18"/>
                <w:color w:val="auto"/>
              </w:rPr>
              <w:t>4.28%</w:t>
            </w:r>
          </w:p>
        </w:tc>
      </w:tr>
      <w:tr>
        <w:trPr>
          <w:trHeight w:val="318"/>
        </w:trPr>
        <w:tc>
          <w:tcPr>
            <w:tcW w:w="4900" w:type="dxa"/>
            <w:vAlign w:val="bottom"/>
            <w:shd w:val="clear" w:color="auto" w:fill="C0C0C0"/>
          </w:tcPr>
          <w:p>
            <w:pPr>
              <w:ind w:left="280"/>
              <w:spacing w:after="0" w:line="319" w:lineRule="exact"/>
              <w:rPr>
                <w:sz w:val="20"/>
                <w:szCs w:val="20"/>
                <w:color w:val="auto"/>
              </w:rPr>
            </w:pPr>
            <w:r>
              <w:rPr>
                <w:rFonts w:ascii="Arial" w:cs="Arial" w:eastAsia="Arial" w:hAnsi="Arial"/>
                <w:sz w:val="18"/>
                <w:szCs w:val="18"/>
                <w:color w:val="auto"/>
              </w:rPr>
              <w:t>Tax-exempt</w:t>
            </w:r>
            <w:r>
              <w:rPr>
                <w:rFonts w:ascii="Arial" w:cs="Arial" w:eastAsia="Arial" w:hAnsi="Arial"/>
                <w:sz w:val="29"/>
                <w:szCs w:val="29"/>
                <w:color w:val="auto"/>
                <w:vertAlign w:val="superscript"/>
              </w:rPr>
              <w:t>4</w:t>
            </w:r>
          </w:p>
        </w:tc>
        <w:tc>
          <w:tcPr>
            <w:tcW w:w="160" w:type="dxa"/>
            <w:vAlign w:val="bottom"/>
            <w:shd w:val="clear" w:color="auto" w:fill="C0C0C0"/>
          </w:tcPr>
          <w:p>
            <w:pPr>
              <w:spacing w:after="0"/>
              <w:rPr>
                <w:sz w:val="24"/>
                <w:szCs w:val="24"/>
                <w:color w:val="auto"/>
              </w:rPr>
            </w:pPr>
          </w:p>
        </w:tc>
        <w:tc>
          <w:tcPr>
            <w:tcW w:w="106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5,277</w:t>
            </w:r>
          </w:p>
        </w:tc>
        <w:tc>
          <w:tcPr>
            <w:tcW w:w="260" w:type="dxa"/>
            <w:vAlign w:val="bottom"/>
            <w:shd w:val="clear" w:color="auto" w:fill="C0C0C0"/>
          </w:tcPr>
          <w:p>
            <w:pPr>
              <w:spacing w:after="0"/>
              <w:rPr>
                <w:sz w:val="24"/>
                <w:szCs w:val="24"/>
                <w:color w:val="auto"/>
              </w:rPr>
            </w:pPr>
          </w:p>
        </w:tc>
        <w:tc>
          <w:tcPr>
            <w:tcW w:w="1080" w:type="dxa"/>
            <w:vAlign w:val="bottom"/>
            <w:shd w:val="clear" w:color="auto" w:fill="C0C0C0"/>
          </w:tcPr>
          <w:p>
            <w:pPr>
              <w:jc w:val="right"/>
              <w:ind w:right="212"/>
              <w:spacing w:after="0"/>
              <w:rPr>
                <w:sz w:val="20"/>
                <w:szCs w:val="20"/>
                <w:color w:val="auto"/>
              </w:rPr>
            </w:pPr>
            <w:r>
              <w:rPr>
                <w:rFonts w:ascii="Arial" w:cs="Arial" w:eastAsia="Arial" w:hAnsi="Arial"/>
                <w:sz w:val="18"/>
                <w:szCs w:val="18"/>
                <w:color w:val="auto"/>
              </w:rPr>
              <w:t>53</w:t>
            </w:r>
          </w:p>
        </w:tc>
        <w:tc>
          <w:tcPr>
            <w:tcW w:w="62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4.03</w:t>
            </w:r>
          </w:p>
        </w:tc>
        <w:tc>
          <w:tcPr>
            <w:tcW w:w="260" w:type="dxa"/>
            <w:vAlign w:val="bottom"/>
            <w:shd w:val="clear" w:color="auto" w:fill="C0C0C0"/>
          </w:tcPr>
          <w:p>
            <w:pPr>
              <w:spacing w:after="0"/>
              <w:rPr>
                <w:sz w:val="24"/>
                <w:szCs w:val="24"/>
                <w:color w:val="auto"/>
              </w:rPr>
            </w:pPr>
          </w:p>
        </w:tc>
        <w:tc>
          <w:tcPr>
            <w:tcW w:w="160" w:type="dxa"/>
            <w:vAlign w:val="bottom"/>
            <w:shd w:val="clear" w:color="auto" w:fill="C0C0C0"/>
          </w:tcPr>
          <w:p>
            <w:pPr>
              <w:spacing w:after="0"/>
              <w:rPr>
                <w:sz w:val="24"/>
                <w:szCs w:val="24"/>
                <w:color w:val="auto"/>
              </w:rPr>
            </w:pPr>
          </w:p>
        </w:tc>
        <w:tc>
          <w:tcPr>
            <w:tcW w:w="106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18,521</w:t>
            </w:r>
          </w:p>
        </w:tc>
        <w:tc>
          <w:tcPr>
            <w:tcW w:w="240" w:type="dxa"/>
            <w:vAlign w:val="bottom"/>
            <w:shd w:val="clear" w:color="auto" w:fill="C0C0C0"/>
          </w:tcPr>
          <w:p>
            <w:pPr>
              <w:spacing w:after="0"/>
              <w:rPr>
                <w:sz w:val="24"/>
                <w:szCs w:val="24"/>
                <w:color w:val="auto"/>
              </w:rPr>
            </w:pPr>
          </w:p>
        </w:tc>
        <w:tc>
          <w:tcPr>
            <w:tcW w:w="1020" w:type="dxa"/>
            <w:vAlign w:val="bottom"/>
            <w:shd w:val="clear" w:color="auto" w:fill="C0C0C0"/>
          </w:tcPr>
          <w:p>
            <w:pPr>
              <w:jc w:val="right"/>
              <w:ind w:right="212"/>
              <w:spacing w:after="0"/>
              <w:rPr>
                <w:sz w:val="20"/>
                <w:szCs w:val="20"/>
                <w:color w:val="auto"/>
              </w:rPr>
            </w:pPr>
            <w:r>
              <w:rPr>
                <w:rFonts w:ascii="Arial" w:cs="Arial" w:eastAsia="Arial" w:hAnsi="Arial"/>
                <w:sz w:val="18"/>
                <w:szCs w:val="18"/>
                <w:color w:val="auto"/>
              </w:rPr>
              <w:t>221</w:t>
            </w:r>
          </w:p>
        </w:tc>
        <w:tc>
          <w:tcPr>
            <w:tcW w:w="6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4.80</w:t>
            </w:r>
          </w:p>
        </w:tc>
      </w:tr>
      <w:tr>
        <w:trPr>
          <w:trHeight w:val="311"/>
        </w:trPr>
        <w:tc>
          <w:tcPr>
            <w:tcW w:w="4900" w:type="dxa"/>
            <w:vAlign w:val="bottom"/>
          </w:tcPr>
          <w:p>
            <w:pPr>
              <w:spacing w:after="0" w:line="310" w:lineRule="exact"/>
              <w:rPr>
                <w:sz w:val="20"/>
                <w:szCs w:val="20"/>
                <w:color w:val="auto"/>
              </w:rPr>
            </w:pPr>
            <w:r>
              <w:rPr>
                <w:rFonts w:ascii="Arial" w:cs="Arial" w:eastAsia="Arial" w:hAnsi="Arial"/>
                <w:sz w:val="18"/>
                <w:szCs w:val="18"/>
                <w:color w:val="auto"/>
              </w:rPr>
              <w:t>Investment securities</w:t>
            </w:r>
            <w:r>
              <w:rPr>
                <w:rFonts w:ascii="Arial" w:cs="Arial" w:eastAsia="Arial" w:hAnsi="Arial"/>
                <w:sz w:val="29"/>
                <w:szCs w:val="29"/>
                <w:color w:val="auto"/>
                <w:vertAlign w:val="superscript"/>
              </w:rPr>
              <w:t>5</w:t>
            </w: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43"/>
        </w:trPr>
        <w:tc>
          <w:tcPr>
            <w:tcW w:w="4900" w:type="dxa"/>
            <w:vAlign w:val="bottom"/>
            <w:shd w:val="clear" w:color="auto" w:fill="C0C0C0"/>
          </w:tcPr>
          <w:p>
            <w:pPr>
              <w:ind w:left="280"/>
              <w:spacing w:after="0"/>
              <w:rPr>
                <w:sz w:val="20"/>
                <w:szCs w:val="20"/>
                <w:color w:val="auto"/>
              </w:rPr>
            </w:pPr>
            <w:r>
              <w:rPr>
                <w:rFonts w:ascii="Arial" w:cs="Arial" w:eastAsia="Arial" w:hAnsi="Arial"/>
                <w:sz w:val="18"/>
                <w:szCs w:val="18"/>
                <w:color w:val="auto"/>
              </w:rPr>
              <w:t>Taxable</w:t>
            </w:r>
          </w:p>
        </w:tc>
        <w:tc>
          <w:tcPr>
            <w:tcW w:w="160" w:type="dxa"/>
            <w:vAlign w:val="bottom"/>
            <w:shd w:val="clear" w:color="auto" w:fill="C0C0C0"/>
          </w:tcPr>
          <w:p>
            <w:pPr>
              <w:spacing w:after="0"/>
              <w:rPr>
                <w:sz w:val="21"/>
                <w:szCs w:val="21"/>
                <w:color w:val="auto"/>
              </w:rPr>
            </w:pPr>
          </w:p>
        </w:tc>
        <w:tc>
          <w:tcPr>
            <w:tcW w:w="106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13,819</w:t>
            </w:r>
          </w:p>
        </w:tc>
        <w:tc>
          <w:tcPr>
            <w:tcW w:w="260" w:type="dxa"/>
            <w:vAlign w:val="bottom"/>
            <w:shd w:val="clear" w:color="auto" w:fill="C0C0C0"/>
          </w:tcPr>
          <w:p>
            <w:pPr>
              <w:spacing w:after="0"/>
              <w:rPr>
                <w:sz w:val="21"/>
                <w:szCs w:val="21"/>
                <w:color w:val="auto"/>
              </w:rPr>
            </w:pPr>
          </w:p>
        </w:tc>
        <w:tc>
          <w:tcPr>
            <w:tcW w:w="1080" w:type="dxa"/>
            <w:vAlign w:val="bottom"/>
            <w:shd w:val="clear" w:color="auto" w:fill="C0C0C0"/>
          </w:tcPr>
          <w:p>
            <w:pPr>
              <w:jc w:val="right"/>
              <w:ind w:right="212"/>
              <w:spacing w:after="0"/>
              <w:rPr>
                <w:sz w:val="20"/>
                <w:szCs w:val="20"/>
                <w:color w:val="auto"/>
              </w:rPr>
            </w:pPr>
            <w:r>
              <w:rPr>
                <w:rFonts w:ascii="Arial" w:cs="Arial" w:eastAsia="Arial" w:hAnsi="Arial"/>
                <w:sz w:val="18"/>
                <w:szCs w:val="18"/>
                <w:color w:val="auto"/>
              </w:rPr>
              <w:t>72</w:t>
            </w:r>
          </w:p>
        </w:tc>
        <w:tc>
          <w:tcPr>
            <w:tcW w:w="62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2.09</w:t>
            </w:r>
          </w:p>
        </w:tc>
        <w:tc>
          <w:tcPr>
            <w:tcW w:w="2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06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1,196</w:t>
            </w:r>
          </w:p>
        </w:tc>
        <w:tc>
          <w:tcPr>
            <w:tcW w:w="240" w:type="dxa"/>
            <w:vAlign w:val="bottom"/>
            <w:shd w:val="clear" w:color="auto" w:fill="C0C0C0"/>
          </w:tcPr>
          <w:p>
            <w:pPr>
              <w:spacing w:after="0"/>
              <w:rPr>
                <w:sz w:val="21"/>
                <w:szCs w:val="21"/>
                <w:color w:val="auto"/>
              </w:rPr>
            </w:pPr>
          </w:p>
        </w:tc>
        <w:tc>
          <w:tcPr>
            <w:tcW w:w="1020" w:type="dxa"/>
            <w:vAlign w:val="bottom"/>
            <w:shd w:val="clear" w:color="auto" w:fill="C0C0C0"/>
          </w:tcPr>
          <w:p>
            <w:pPr>
              <w:jc w:val="right"/>
              <w:ind w:right="212"/>
              <w:spacing w:after="0"/>
              <w:rPr>
                <w:sz w:val="20"/>
                <w:szCs w:val="20"/>
                <w:color w:val="auto"/>
              </w:rPr>
            </w:pPr>
            <w:r>
              <w:rPr>
                <w:rFonts w:ascii="Arial" w:cs="Arial" w:eastAsia="Arial" w:hAnsi="Arial"/>
                <w:sz w:val="18"/>
                <w:szCs w:val="18"/>
                <w:color w:val="auto"/>
              </w:rPr>
              <w:t>10</w:t>
            </w:r>
          </w:p>
        </w:tc>
        <w:tc>
          <w:tcPr>
            <w:tcW w:w="6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3.36</w:t>
            </w:r>
          </w:p>
        </w:tc>
      </w:tr>
      <w:tr>
        <w:trPr>
          <w:trHeight w:val="311"/>
        </w:trPr>
        <w:tc>
          <w:tcPr>
            <w:tcW w:w="4900" w:type="dxa"/>
            <w:vAlign w:val="bottom"/>
          </w:tcPr>
          <w:p>
            <w:pPr>
              <w:ind w:left="280"/>
              <w:spacing w:after="0" w:line="310" w:lineRule="exact"/>
              <w:rPr>
                <w:sz w:val="20"/>
                <w:szCs w:val="20"/>
                <w:color w:val="auto"/>
              </w:rPr>
            </w:pPr>
            <w:r>
              <w:rPr>
                <w:rFonts w:ascii="Arial" w:cs="Arial" w:eastAsia="Arial" w:hAnsi="Arial"/>
                <w:sz w:val="18"/>
                <w:szCs w:val="18"/>
                <w:color w:val="auto"/>
              </w:rPr>
              <w:t>Tax-exempt</w:t>
            </w:r>
            <w:r>
              <w:rPr>
                <w:rFonts w:ascii="Arial" w:cs="Arial" w:eastAsia="Arial" w:hAnsi="Arial"/>
                <w:sz w:val="29"/>
                <w:szCs w:val="29"/>
                <w:color w:val="auto"/>
                <w:vertAlign w:val="superscript"/>
              </w:rPr>
              <w:t>4</w:t>
            </w:r>
          </w:p>
        </w:tc>
        <w:tc>
          <w:tcPr>
            <w:tcW w:w="160" w:type="dxa"/>
            <w:vAlign w:val="bottom"/>
          </w:tcPr>
          <w:p>
            <w:pPr>
              <w:spacing w:after="0"/>
              <w:rPr>
                <w:sz w:val="24"/>
                <w:szCs w:val="24"/>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405,489</w:t>
            </w:r>
          </w:p>
        </w:tc>
        <w:tc>
          <w:tcPr>
            <w:tcW w:w="260" w:type="dxa"/>
            <w:vAlign w:val="bottom"/>
          </w:tcPr>
          <w:p>
            <w:pPr>
              <w:spacing w:after="0"/>
              <w:rPr>
                <w:sz w:val="24"/>
                <w:szCs w:val="24"/>
                <w:color w:val="auto"/>
              </w:rPr>
            </w:pPr>
          </w:p>
        </w:tc>
        <w:tc>
          <w:tcPr>
            <w:tcW w:w="1080" w:type="dxa"/>
            <w:vAlign w:val="bottom"/>
          </w:tcPr>
          <w:p>
            <w:pPr>
              <w:jc w:val="right"/>
              <w:ind w:right="212"/>
              <w:spacing w:after="0"/>
              <w:rPr>
                <w:sz w:val="20"/>
                <w:szCs w:val="20"/>
                <w:color w:val="auto"/>
              </w:rPr>
            </w:pPr>
            <w:r>
              <w:rPr>
                <w:rFonts w:ascii="Arial" w:cs="Arial" w:eastAsia="Arial" w:hAnsi="Arial"/>
                <w:sz w:val="18"/>
                <w:szCs w:val="18"/>
                <w:color w:val="auto"/>
              </w:rPr>
              <w:t>4,090</w:t>
            </w:r>
          </w:p>
        </w:tc>
        <w:tc>
          <w:tcPr>
            <w:tcW w:w="620" w:type="dxa"/>
            <w:vAlign w:val="bottom"/>
          </w:tcPr>
          <w:p>
            <w:pPr>
              <w:jc w:val="right"/>
              <w:ind w:right="72"/>
              <w:spacing w:after="0"/>
              <w:rPr>
                <w:sz w:val="20"/>
                <w:szCs w:val="20"/>
                <w:color w:val="auto"/>
              </w:rPr>
            </w:pPr>
            <w:r>
              <w:rPr>
                <w:rFonts w:ascii="Arial" w:cs="Arial" w:eastAsia="Arial" w:hAnsi="Arial"/>
                <w:sz w:val="18"/>
                <w:szCs w:val="18"/>
                <w:color w:val="auto"/>
              </w:rPr>
              <w:t>4.05</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344,248</w:t>
            </w:r>
          </w:p>
        </w:tc>
        <w:tc>
          <w:tcPr>
            <w:tcW w:w="240" w:type="dxa"/>
            <w:vAlign w:val="bottom"/>
          </w:tcPr>
          <w:p>
            <w:pPr>
              <w:spacing w:after="0"/>
              <w:rPr>
                <w:sz w:val="24"/>
                <w:szCs w:val="24"/>
                <w:color w:val="auto"/>
              </w:rPr>
            </w:pPr>
          </w:p>
        </w:tc>
        <w:tc>
          <w:tcPr>
            <w:tcW w:w="1020" w:type="dxa"/>
            <w:vAlign w:val="bottom"/>
          </w:tcPr>
          <w:p>
            <w:pPr>
              <w:jc w:val="right"/>
              <w:ind w:right="212"/>
              <w:spacing w:after="0"/>
              <w:rPr>
                <w:sz w:val="20"/>
                <w:szCs w:val="20"/>
                <w:color w:val="auto"/>
              </w:rPr>
            </w:pPr>
            <w:r>
              <w:rPr>
                <w:rFonts w:ascii="Arial" w:cs="Arial" w:eastAsia="Arial" w:hAnsi="Arial"/>
                <w:sz w:val="18"/>
                <w:szCs w:val="18"/>
                <w:color w:val="auto"/>
              </w:rPr>
              <w:t>3,748</w:t>
            </w:r>
          </w:p>
        </w:tc>
        <w:tc>
          <w:tcPr>
            <w:tcW w:w="600" w:type="dxa"/>
            <w:vAlign w:val="bottom"/>
          </w:tcPr>
          <w:p>
            <w:pPr>
              <w:jc w:val="right"/>
              <w:ind w:right="52"/>
              <w:spacing w:after="0"/>
              <w:rPr>
                <w:sz w:val="20"/>
                <w:szCs w:val="20"/>
                <w:color w:val="auto"/>
              </w:rPr>
            </w:pPr>
            <w:r>
              <w:rPr>
                <w:rFonts w:ascii="Arial" w:cs="Arial" w:eastAsia="Arial" w:hAnsi="Arial"/>
                <w:sz w:val="18"/>
                <w:szCs w:val="18"/>
                <w:color w:val="auto"/>
              </w:rPr>
              <w:t>4.38</w:t>
            </w:r>
          </w:p>
        </w:tc>
      </w:tr>
      <w:tr>
        <w:trPr>
          <w:trHeight w:val="243"/>
        </w:trPr>
        <w:tc>
          <w:tcPr>
            <w:tcW w:w="4900" w:type="dxa"/>
            <w:vAlign w:val="bottom"/>
            <w:shd w:val="clear" w:color="auto" w:fill="C0C0C0"/>
          </w:tcPr>
          <w:p>
            <w:pPr>
              <w:spacing w:after="0"/>
              <w:rPr>
                <w:sz w:val="20"/>
                <w:szCs w:val="20"/>
                <w:color w:val="auto"/>
              </w:rPr>
            </w:pPr>
            <w:r>
              <w:rPr>
                <w:rFonts w:ascii="Arial" w:cs="Arial" w:eastAsia="Arial" w:hAnsi="Arial"/>
                <w:sz w:val="18"/>
                <w:szCs w:val="18"/>
                <w:color w:val="auto"/>
              </w:rPr>
              <w:t>Certificates of deposit</w:t>
            </w:r>
          </w:p>
        </w:tc>
        <w:tc>
          <w:tcPr>
            <w:tcW w:w="160" w:type="dxa"/>
            <w:vAlign w:val="bottom"/>
            <w:shd w:val="clear" w:color="auto" w:fill="C0C0C0"/>
          </w:tcPr>
          <w:p>
            <w:pPr>
              <w:spacing w:after="0"/>
              <w:rPr>
                <w:sz w:val="21"/>
                <w:szCs w:val="21"/>
                <w:color w:val="auto"/>
              </w:rPr>
            </w:pPr>
          </w:p>
        </w:tc>
        <w:tc>
          <w:tcPr>
            <w:tcW w:w="106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6,139</w:t>
            </w:r>
          </w:p>
        </w:tc>
        <w:tc>
          <w:tcPr>
            <w:tcW w:w="260" w:type="dxa"/>
            <w:vAlign w:val="bottom"/>
            <w:shd w:val="clear" w:color="auto" w:fill="C0C0C0"/>
          </w:tcPr>
          <w:p>
            <w:pPr>
              <w:spacing w:after="0"/>
              <w:rPr>
                <w:sz w:val="21"/>
                <w:szCs w:val="21"/>
                <w:color w:val="auto"/>
              </w:rPr>
            </w:pPr>
          </w:p>
        </w:tc>
        <w:tc>
          <w:tcPr>
            <w:tcW w:w="1080" w:type="dxa"/>
            <w:vAlign w:val="bottom"/>
            <w:shd w:val="clear" w:color="auto" w:fill="C0C0C0"/>
          </w:tcPr>
          <w:p>
            <w:pPr>
              <w:jc w:val="right"/>
              <w:ind w:right="212"/>
              <w:spacing w:after="0"/>
              <w:rPr>
                <w:sz w:val="20"/>
                <w:szCs w:val="20"/>
                <w:color w:val="auto"/>
              </w:rPr>
            </w:pPr>
            <w:r>
              <w:rPr>
                <w:rFonts w:ascii="Arial" w:cs="Arial" w:eastAsia="Arial" w:hAnsi="Arial"/>
                <w:sz w:val="18"/>
                <w:szCs w:val="18"/>
                <w:color w:val="auto"/>
              </w:rPr>
              <w:t>12</w:t>
            </w:r>
          </w:p>
        </w:tc>
        <w:tc>
          <w:tcPr>
            <w:tcW w:w="62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.78</w:t>
            </w:r>
          </w:p>
        </w:tc>
        <w:tc>
          <w:tcPr>
            <w:tcW w:w="2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06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7,618</w:t>
            </w:r>
          </w:p>
        </w:tc>
        <w:tc>
          <w:tcPr>
            <w:tcW w:w="240" w:type="dxa"/>
            <w:vAlign w:val="bottom"/>
            <w:shd w:val="clear" w:color="auto" w:fill="C0C0C0"/>
          </w:tcPr>
          <w:p>
            <w:pPr>
              <w:spacing w:after="0"/>
              <w:rPr>
                <w:sz w:val="21"/>
                <w:szCs w:val="21"/>
                <w:color w:val="auto"/>
              </w:rPr>
            </w:pPr>
          </w:p>
        </w:tc>
        <w:tc>
          <w:tcPr>
            <w:tcW w:w="1020" w:type="dxa"/>
            <w:vAlign w:val="bottom"/>
            <w:shd w:val="clear" w:color="auto" w:fill="C0C0C0"/>
          </w:tcPr>
          <w:p>
            <w:pPr>
              <w:jc w:val="right"/>
              <w:ind w:right="212"/>
              <w:spacing w:after="0"/>
              <w:rPr>
                <w:sz w:val="20"/>
                <w:szCs w:val="20"/>
                <w:color w:val="auto"/>
              </w:rPr>
            </w:pPr>
            <w:r>
              <w:rPr>
                <w:rFonts w:ascii="Arial" w:cs="Arial" w:eastAsia="Arial" w:hAnsi="Arial"/>
                <w:sz w:val="18"/>
                <w:szCs w:val="18"/>
                <w:color w:val="auto"/>
              </w:rPr>
              <w:t>12</w:t>
            </w:r>
          </w:p>
        </w:tc>
        <w:tc>
          <w:tcPr>
            <w:tcW w:w="6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.63</w:t>
            </w:r>
          </w:p>
        </w:tc>
      </w:tr>
      <w:tr>
        <w:trPr>
          <w:trHeight w:val="235"/>
        </w:trPr>
        <w:tc>
          <w:tcPr>
            <w:tcW w:w="4900" w:type="dxa"/>
            <w:vAlign w:val="bottom"/>
          </w:tcPr>
          <w:p>
            <w:pPr>
              <w:spacing w:after="0"/>
              <w:rPr>
                <w:sz w:val="20"/>
                <w:szCs w:val="20"/>
                <w:color w:val="auto"/>
              </w:rPr>
            </w:pPr>
            <w:r>
              <w:rPr>
                <w:rFonts w:ascii="Arial" w:cs="Arial" w:eastAsia="Arial" w:hAnsi="Arial"/>
                <w:sz w:val="18"/>
                <w:szCs w:val="18"/>
                <w:color w:val="auto"/>
              </w:rPr>
              <w:t>Interest-bearing deposits in other financial institutions</w:t>
            </w:r>
          </w:p>
        </w:tc>
        <w:tc>
          <w:tcPr>
            <w:tcW w:w="160" w:type="dxa"/>
            <w:vAlign w:val="bottom"/>
          </w:tcPr>
          <w:p>
            <w:pPr>
              <w:spacing w:after="0"/>
              <w:rPr>
                <w:sz w:val="20"/>
                <w:szCs w:val="20"/>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87,510</w:t>
            </w:r>
          </w:p>
        </w:tc>
        <w:tc>
          <w:tcPr>
            <w:tcW w:w="260" w:type="dxa"/>
            <w:vAlign w:val="bottom"/>
          </w:tcPr>
          <w:p>
            <w:pPr>
              <w:spacing w:after="0"/>
              <w:rPr>
                <w:sz w:val="20"/>
                <w:szCs w:val="20"/>
                <w:color w:val="auto"/>
              </w:rPr>
            </w:pPr>
          </w:p>
        </w:tc>
        <w:tc>
          <w:tcPr>
            <w:tcW w:w="1080" w:type="dxa"/>
            <w:vAlign w:val="bottom"/>
          </w:tcPr>
          <w:p>
            <w:pPr>
              <w:jc w:val="right"/>
              <w:ind w:right="212"/>
              <w:spacing w:after="0"/>
              <w:rPr>
                <w:sz w:val="20"/>
                <w:szCs w:val="20"/>
                <w:color w:val="auto"/>
              </w:rPr>
            </w:pPr>
            <w:r>
              <w:rPr>
                <w:rFonts w:ascii="Arial" w:cs="Arial" w:eastAsia="Arial" w:hAnsi="Arial"/>
                <w:sz w:val="18"/>
                <w:szCs w:val="18"/>
                <w:color w:val="auto"/>
              </w:rPr>
              <w:t>205</w:t>
            </w:r>
          </w:p>
        </w:tc>
        <w:tc>
          <w:tcPr>
            <w:tcW w:w="620" w:type="dxa"/>
            <w:vAlign w:val="bottom"/>
          </w:tcPr>
          <w:p>
            <w:pPr>
              <w:jc w:val="right"/>
              <w:ind w:right="72"/>
              <w:spacing w:after="0"/>
              <w:rPr>
                <w:sz w:val="20"/>
                <w:szCs w:val="20"/>
                <w:color w:val="auto"/>
              </w:rPr>
            </w:pPr>
            <w:r>
              <w:rPr>
                <w:rFonts w:ascii="Arial" w:cs="Arial" w:eastAsia="Arial" w:hAnsi="Arial"/>
                <w:sz w:val="18"/>
                <w:szCs w:val="18"/>
                <w:color w:val="auto"/>
              </w:rPr>
              <w:t>.94</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124,045</w:t>
            </w:r>
          </w:p>
        </w:tc>
        <w:tc>
          <w:tcPr>
            <w:tcW w:w="240" w:type="dxa"/>
            <w:vAlign w:val="bottom"/>
          </w:tcPr>
          <w:p>
            <w:pPr>
              <w:spacing w:after="0"/>
              <w:rPr>
                <w:sz w:val="20"/>
                <w:szCs w:val="20"/>
                <w:color w:val="auto"/>
              </w:rPr>
            </w:pPr>
          </w:p>
        </w:tc>
        <w:tc>
          <w:tcPr>
            <w:tcW w:w="1020" w:type="dxa"/>
            <w:vAlign w:val="bottom"/>
          </w:tcPr>
          <w:p>
            <w:pPr>
              <w:jc w:val="right"/>
              <w:ind w:right="212"/>
              <w:spacing w:after="0"/>
              <w:rPr>
                <w:sz w:val="20"/>
                <w:szCs w:val="20"/>
                <w:color w:val="auto"/>
              </w:rPr>
            </w:pPr>
            <w:r>
              <w:rPr>
                <w:rFonts w:ascii="Arial" w:cs="Arial" w:eastAsia="Arial" w:hAnsi="Arial"/>
                <w:sz w:val="18"/>
                <w:szCs w:val="18"/>
                <w:color w:val="auto"/>
              </w:rPr>
              <w:t>154</w:t>
            </w:r>
          </w:p>
        </w:tc>
        <w:tc>
          <w:tcPr>
            <w:tcW w:w="600" w:type="dxa"/>
            <w:vAlign w:val="bottom"/>
          </w:tcPr>
          <w:p>
            <w:pPr>
              <w:jc w:val="right"/>
              <w:ind w:right="52"/>
              <w:spacing w:after="0"/>
              <w:rPr>
                <w:sz w:val="20"/>
                <w:szCs w:val="20"/>
                <w:color w:val="auto"/>
              </w:rPr>
            </w:pPr>
            <w:r>
              <w:rPr>
                <w:rFonts w:ascii="Arial" w:cs="Arial" w:eastAsia="Arial" w:hAnsi="Arial"/>
                <w:sz w:val="18"/>
                <w:szCs w:val="18"/>
                <w:color w:val="auto"/>
              </w:rPr>
              <w:t>.50</w:t>
            </w:r>
          </w:p>
        </w:tc>
      </w:tr>
      <w:tr>
        <w:trPr>
          <w:trHeight w:val="244"/>
        </w:trPr>
        <w:tc>
          <w:tcPr>
            <w:tcW w:w="490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Federal funds sold and other short-term investments</w:t>
            </w:r>
          </w:p>
        </w:tc>
        <w:tc>
          <w:tcPr>
            <w:tcW w:w="160" w:type="dxa"/>
            <w:vAlign w:val="bottom"/>
            <w:tcBorders>
              <w:bottom w:val="single" w:sz="8" w:color="auto"/>
            </w:tcBorders>
            <w:shd w:val="clear" w:color="auto" w:fill="C0C0C0"/>
          </w:tcPr>
          <w:p>
            <w:pPr>
              <w:spacing w:after="0"/>
              <w:rPr>
                <w:sz w:val="21"/>
                <w:szCs w:val="21"/>
                <w:color w:val="auto"/>
              </w:rPr>
            </w:pPr>
          </w:p>
        </w:tc>
        <w:tc>
          <w:tcPr>
            <w:tcW w:w="106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151,832</w:t>
            </w:r>
          </w:p>
        </w:tc>
        <w:tc>
          <w:tcPr>
            <w:tcW w:w="260" w:type="dxa"/>
            <w:vAlign w:val="bottom"/>
            <w:tcBorders>
              <w:bottom w:val="single" w:sz="8" w:color="auto"/>
            </w:tcBorders>
            <w:shd w:val="clear" w:color="auto" w:fill="C0C0C0"/>
          </w:tcPr>
          <w:p>
            <w:pPr>
              <w:spacing w:after="0"/>
              <w:rPr>
                <w:sz w:val="21"/>
                <w:szCs w:val="21"/>
                <w:color w:val="auto"/>
              </w:rPr>
            </w:pPr>
          </w:p>
        </w:tc>
        <w:tc>
          <w:tcPr>
            <w:tcW w:w="1080" w:type="dxa"/>
            <w:vAlign w:val="bottom"/>
            <w:tcBorders>
              <w:bottom w:val="single" w:sz="8" w:color="auto"/>
            </w:tcBorders>
            <w:shd w:val="clear" w:color="auto" w:fill="C0C0C0"/>
          </w:tcPr>
          <w:p>
            <w:pPr>
              <w:jc w:val="right"/>
              <w:ind w:right="212"/>
              <w:spacing w:after="0"/>
              <w:rPr>
                <w:sz w:val="20"/>
                <w:szCs w:val="20"/>
                <w:color w:val="auto"/>
              </w:rPr>
            </w:pPr>
            <w:r>
              <w:rPr>
                <w:rFonts w:ascii="Arial" w:cs="Arial" w:eastAsia="Arial" w:hAnsi="Arial"/>
                <w:sz w:val="18"/>
                <w:szCs w:val="18"/>
                <w:color w:val="auto"/>
              </w:rPr>
              <w:t>279</w:t>
            </w:r>
          </w:p>
        </w:tc>
        <w:tc>
          <w:tcPr>
            <w:tcW w:w="620" w:type="dxa"/>
            <w:vAlign w:val="bottom"/>
            <w:tcBorders>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rPr>
              <w:t>.74</w:t>
            </w:r>
          </w:p>
        </w:tc>
        <w:tc>
          <w:tcPr>
            <w:tcW w:w="260" w:type="dxa"/>
            <w:vAlign w:val="bottom"/>
            <w:tcBorders>
              <w:bottom w:val="single" w:sz="8" w:color="auto"/>
            </w:tcBorders>
            <w:shd w:val="clear" w:color="auto" w:fill="C0C0C0"/>
          </w:tcPr>
          <w:p>
            <w:pPr>
              <w:spacing w:after="0"/>
              <w:rPr>
                <w:sz w:val="21"/>
                <w:szCs w:val="21"/>
                <w:color w:val="auto"/>
              </w:rPr>
            </w:pPr>
          </w:p>
        </w:tc>
        <w:tc>
          <w:tcPr>
            <w:tcW w:w="160" w:type="dxa"/>
            <w:vAlign w:val="bottom"/>
            <w:tcBorders>
              <w:bottom w:val="single" w:sz="8" w:color="auto"/>
            </w:tcBorders>
            <w:shd w:val="clear" w:color="auto" w:fill="C0C0C0"/>
          </w:tcPr>
          <w:p>
            <w:pPr>
              <w:spacing w:after="0"/>
              <w:rPr>
                <w:sz w:val="21"/>
                <w:szCs w:val="21"/>
                <w:color w:val="auto"/>
              </w:rPr>
            </w:pPr>
          </w:p>
        </w:tc>
        <w:tc>
          <w:tcPr>
            <w:tcW w:w="1060" w:type="dxa"/>
            <w:vAlign w:val="bottom"/>
            <w:tcBorders>
              <w:bottom w:val="single" w:sz="8" w:color="auto"/>
            </w:tcBorders>
            <w:shd w:val="clear" w:color="auto" w:fill="C0C0C0"/>
          </w:tcPr>
          <w:p>
            <w:pPr>
              <w:jc w:val="right"/>
              <w:ind w:right="112"/>
              <w:spacing w:after="0"/>
              <w:rPr>
                <w:sz w:val="20"/>
                <w:szCs w:val="20"/>
                <w:color w:val="auto"/>
              </w:rPr>
            </w:pPr>
            <w:r>
              <w:rPr>
                <w:rFonts w:ascii="Arial" w:cs="Arial" w:eastAsia="Arial" w:hAnsi="Arial"/>
                <w:sz w:val="18"/>
                <w:szCs w:val="18"/>
                <w:color w:val="auto"/>
              </w:rPr>
              <w:t>119,484</w:t>
            </w:r>
          </w:p>
        </w:tc>
        <w:tc>
          <w:tcPr>
            <w:tcW w:w="240" w:type="dxa"/>
            <w:vAlign w:val="bottom"/>
            <w:tcBorders>
              <w:bottom w:val="single" w:sz="8" w:color="auto"/>
            </w:tcBorders>
            <w:shd w:val="clear" w:color="auto" w:fill="C0C0C0"/>
          </w:tcPr>
          <w:p>
            <w:pPr>
              <w:spacing w:after="0"/>
              <w:rPr>
                <w:sz w:val="21"/>
                <w:szCs w:val="21"/>
                <w:color w:val="auto"/>
              </w:rPr>
            </w:pPr>
          </w:p>
        </w:tc>
        <w:tc>
          <w:tcPr>
            <w:tcW w:w="1020" w:type="dxa"/>
            <w:vAlign w:val="bottom"/>
            <w:tcBorders>
              <w:bottom w:val="single" w:sz="8" w:color="auto"/>
            </w:tcBorders>
            <w:shd w:val="clear" w:color="auto" w:fill="C0C0C0"/>
          </w:tcPr>
          <w:p>
            <w:pPr>
              <w:jc w:val="right"/>
              <w:ind w:right="212"/>
              <w:spacing w:after="0"/>
              <w:rPr>
                <w:sz w:val="20"/>
                <w:szCs w:val="20"/>
                <w:color w:val="auto"/>
              </w:rPr>
            </w:pPr>
            <w:r>
              <w:rPr>
                <w:rFonts w:ascii="Arial" w:cs="Arial" w:eastAsia="Arial" w:hAnsi="Arial"/>
                <w:sz w:val="18"/>
                <w:szCs w:val="18"/>
                <w:color w:val="auto"/>
              </w:rPr>
              <w:t>82</w:t>
            </w:r>
          </w:p>
        </w:tc>
        <w:tc>
          <w:tcPr>
            <w:tcW w:w="60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.28</w:t>
            </w:r>
          </w:p>
        </w:tc>
      </w:tr>
      <w:tr>
        <w:trPr>
          <w:trHeight w:val="235"/>
        </w:trPr>
        <w:tc>
          <w:tcPr>
            <w:tcW w:w="4900" w:type="dxa"/>
            <w:vAlign w:val="bottom"/>
          </w:tcPr>
          <w:p>
            <w:pPr>
              <w:spacing w:after="0"/>
              <w:rPr>
                <w:sz w:val="20"/>
                <w:szCs w:val="20"/>
                <w:color w:val="auto"/>
              </w:rPr>
            </w:pPr>
            <w:r>
              <w:rPr>
                <w:rFonts w:ascii="Arial" w:cs="Arial" w:eastAsia="Arial" w:hAnsi="Arial"/>
                <w:sz w:val="18"/>
                <w:szCs w:val="18"/>
                <w:color w:val="auto"/>
              </w:rPr>
              <w:t>Total earning assets</w:t>
            </w:r>
          </w:p>
        </w:tc>
        <w:tc>
          <w:tcPr>
            <w:tcW w:w="160" w:type="dxa"/>
            <w:vAlign w:val="bottom"/>
          </w:tcPr>
          <w:p>
            <w:pPr>
              <w:spacing w:after="0"/>
              <w:rPr>
                <w:sz w:val="20"/>
                <w:szCs w:val="20"/>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1,332,829</w:t>
            </w:r>
          </w:p>
        </w:tc>
        <w:tc>
          <w:tcPr>
            <w:tcW w:w="260" w:type="dxa"/>
            <w:vAlign w:val="bottom"/>
          </w:tcPr>
          <w:p>
            <w:pPr>
              <w:spacing w:after="0"/>
              <w:rPr>
                <w:sz w:val="20"/>
                <w:szCs w:val="20"/>
                <w:color w:val="auto"/>
              </w:rPr>
            </w:pPr>
          </w:p>
        </w:tc>
        <w:tc>
          <w:tcPr>
            <w:tcW w:w="1080" w:type="dxa"/>
            <w:vAlign w:val="bottom"/>
          </w:tcPr>
          <w:p>
            <w:pPr>
              <w:jc w:val="right"/>
              <w:ind w:right="212"/>
              <w:spacing w:after="0"/>
              <w:rPr>
                <w:sz w:val="20"/>
                <w:szCs w:val="20"/>
                <w:color w:val="auto"/>
              </w:rPr>
            </w:pPr>
            <w:r>
              <w:rPr>
                <w:rFonts w:ascii="Arial" w:cs="Arial" w:eastAsia="Arial" w:hAnsi="Arial"/>
                <w:sz w:val="18"/>
                <w:szCs w:val="18"/>
                <w:color w:val="auto"/>
              </w:rPr>
              <w:t>11,782</w:t>
            </w:r>
          </w:p>
        </w:tc>
        <w:tc>
          <w:tcPr>
            <w:tcW w:w="620" w:type="dxa"/>
            <w:vAlign w:val="bottom"/>
          </w:tcPr>
          <w:p>
            <w:pPr>
              <w:jc w:val="right"/>
              <w:ind w:right="72"/>
              <w:spacing w:after="0"/>
              <w:rPr>
                <w:sz w:val="20"/>
                <w:szCs w:val="20"/>
                <w:color w:val="auto"/>
              </w:rPr>
            </w:pPr>
            <w:r>
              <w:rPr>
                <w:rFonts w:ascii="Arial" w:cs="Arial" w:eastAsia="Arial" w:hAnsi="Arial"/>
                <w:sz w:val="18"/>
                <w:szCs w:val="18"/>
                <w:color w:val="auto"/>
              </w:rPr>
              <w:t>3.55</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1,289,339</w:t>
            </w:r>
          </w:p>
        </w:tc>
        <w:tc>
          <w:tcPr>
            <w:tcW w:w="240" w:type="dxa"/>
            <w:vAlign w:val="bottom"/>
          </w:tcPr>
          <w:p>
            <w:pPr>
              <w:spacing w:after="0"/>
              <w:rPr>
                <w:sz w:val="20"/>
                <w:szCs w:val="20"/>
                <w:color w:val="auto"/>
              </w:rPr>
            </w:pPr>
          </w:p>
        </w:tc>
        <w:tc>
          <w:tcPr>
            <w:tcW w:w="1020" w:type="dxa"/>
            <w:vAlign w:val="bottom"/>
          </w:tcPr>
          <w:p>
            <w:pPr>
              <w:jc w:val="right"/>
              <w:ind w:right="212"/>
              <w:spacing w:after="0"/>
              <w:rPr>
                <w:sz w:val="20"/>
                <w:szCs w:val="20"/>
                <w:color w:val="auto"/>
              </w:rPr>
            </w:pPr>
            <w:r>
              <w:rPr>
                <w:rFonts w:ascii="Arial" w:cs="Arial" w:eastAsia="Arial" w:hAnsi="Arial"/>
                <w:sz w:val="18"/>
                <w:szCs w:val="18"/>
                <w:color w:val="auto"/>
              </w:rPr>
              <w:t>11,400</w:t>
            </w:r>
          </w:p>
        </w:tc>
        <w:tc>
          <w:tcPr>
            <w:tcW w:w="600" w:type="dxa"/>
            <w:vAlign w:val="bottom"/>
          </w:tcPr>
          <w:p>
            <w:pPr>
              <w:jc w:val="right"/>
              <w:ind w:right="52"/>
              <w:spacing w:after="0"/>
              <w:rPr>
                <w:sz w:val="20"/>
                <w:szCs w:val="20"/>
                <w:color w:val="auto"/>
              </w:rPr>
            </w:pPr>
            <w:r>
              <w:rPr>
                <w:rFonts w:ascii="Arial" w:cs="Arial" w:eastAsia="Arial" w:hAnsi="Arial"/>
                <w:sz w:val="18"/>
                <w:szCs w:val="18"/>
                <w:color w:val="auto"/>
              </w:rPr>
              <w:t>3.56</w:t>
            </w:r>
          </w:p>
        </w:tc>
      </w:tr>
      <w:tr>
        <w:trPr>
          <w:trHeight w:val="251"/>
        </w:trPr>
        <w:tc>
          <w:tcPr>
            <w:tcW w:w="4900" w:type="dxa"/>
            <w:vAlign w:val="bottom"/>
            <w:shd w:val="clear" w:color="auto" w:fill="C0C0C0"/>
          </w:tcPr>
          <w:p>
            <w:pPr>
              <w:spacing w:after="0"/>
              <w:rPr>
                <w:sz w:val="20"/>
                <w:szCs w:val="20"/>
                <w:color w:val="auto"/>
              </w:rPr>
            </w:pPr>
            <w:r>
              <w:rPr>
                <w:rFonts w:ascii="Arial" w:cs="Arial" w:eastAsia="Arial" w:hAnsi="Arial"/>
                <w:sz w:val="18"/>
                <w:szCs w:val="18"/>
                <w:color w:val="auto"/>
              </w:rPr>
              <w:t>Non-earning assets</w:t>
            </w:r>
          </w:p>
        </w:tc>
        <w:tc>
          <w:tcPr>
            <w:tcW w:w="160" w:type="dxa"/>
            <w:vAlign w:val="bottom"/>
            <w:shd w:val="clear" w:color="auto" w:fill="C0C0C0"/>
          </w:tcPr>
          <w:p>
            <w:pPr>
              <w:spacing w:after="0"/>
              <w:rPr>
                <w:sz w:val="21"/>
                <w:szCs w:val="21"/>
                <w:color w:val="auto"/>
              </w:rPr>
            </w:pPr>
          </w:p>
        </w:tc>
        <w:tc>
          <w:tcPr>
            <w:tcW w:w="10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080" w:type="dxa"/>
            <w:vAlign w:val="bottom"/>
            <w:shd w:val="clear" w:color="auto" w:fill="C0C0C0"/>
          </w:tcPr>
          <w:p>
            <w:pPr>
              <w:spacing w:after="0"/>
              <w:rPr>
                <w:sz w:val="21"/>
                <w:szCs w:val="21"/>
                <w:color w:val="auto"/>
              </w:rPr>
            </w:pPr>
          </w:p>
        </w:tc>
        <w:tc>
          <w:tcPr>
            <w:tcW w:w="6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06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1020" w:type="dxa"/>
            <w:vAlign w:val="bottom"/>
            <w:shd w:val="clear" w:color="auto" w:fill="C0C0C0"/>
          </w:tcPr>
          <w:p>
            <w:pPr>
              <w:spacing w:after="0"/>
              <w:rPr>
                <w:sz w:val="21"/>
                <w:szCs w:val="21"/>
                <w:color w:val="auto"/>
              </w:rPr>
            </w:pPr>
          </w:p>
        </w:tc>
        <w:tc>
          <w:tcPr>
            <w:tcW w:w="600" w:type="dxa"/>
            <w:vAlign w:val="bottom"/>
            <w:shd w:val="clear" w:color="auto" w:fill="C0C0C0"/>
          </w:tcPr>
          <w:p>
            <w:pPr>
              <w:spacing w:after="0"/>
              <w:rPr>
                <w:sz w:val="21"/>
                <w:szCs w:val="21"/>
                <w:color w:val="auto"/>
              </w:rPr>
            </w:pPr>
          </w:p>
        </w:tc>
      </w:tr>
      <w:tr>
        <w:trPr>
          <w:trHeight w:val="235"/>
        </w:trPr>
        <w:tc>
          <w:tcPr>
            <w:tcW w:w="4900" w:type="dxa"/>
            <w:vAlign w:val="bottom"/>
          </w:tcPr>
          <w:p>
            <w:pPr>
              <w:ind w:left="280"/>
              <w:spacing w:after="0"/>
              <w:rPr>
                <w:sz w:val="20"/>
                <w:szCs w:val="20"/>
                <w:color w:val="auto"/>
              </w:rPr>
            </w:pPr>
            <w:r>
              <w:rPr>
                <w:rFonts w:ascii="Arial" w:cs="Arial" w:eastAsia="Arial" w:hAnsi="Arial"/>
                <w:sz w:val="18"/>
                <w:szCs w:val="18"/>
                <w:color w:val="auto"/>
              </w:rPr>
              <w:t>Cash and due from banks</w:t>
            </w:r>
          </w:p>
        </w:tc>
        <w:tc>
          <w:tcPr>
            <w:tcW w:w="160" w:type="dxa"/>
            <w:vAlign w:val="bottom"/>
          </w:tcPr>
          <w:p>
            <w:pPr>
              <w:spacing w:after="0"/>
              <w:rPr>
                <w:sz w:val="20"/>
                <w:szCs w:val="20"/>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12,443</w:t>
            </w: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11,481</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51"/>
        </w:trPr>
        <w:tc>
          <w:tcPr>
            <w:tcW w:w="4900" w:type="dxa"/>
            <w:vAlign w:val="bottom"/>
            <w:shd w:val="clear" w:color="auto" w:fill="C0C0C0"/>
          </w:tcPr>
          <w:p>
            <w:pPr>
              <w:ind w:left="280"/>
              <w:spacing w:after="0"/>
              <w:rPr>
                <w:sz w:val="20"/>
                <w:szCs w:val="20"/>
                <w:color w:val="auto"/>
              </w:rPr>
            </w:pPr>
            <w:r>
              <w:rPr>
                <w:rFonts w:ascii="Arial" w:cs="Arial" w:eastAsia="Arial" w:hAnsi="Arial"/>
                <w:sz w:val="18"/>
                <w:szCs w:val="18"/>
                <w:color w:val="auto"/>
              </w:rPr>
              <w:t>Premises and equipment, net</w:t>
            </w:r>
          </w:p>
        </w:tc>
        <w:tc>
          <w:tcPr>
            <w:tcW w:w="160" w:type="dxa"/>
            <w:vAlign w:val="bottom"/>
            <w:shd w:val="clear" w:color="auto" w:fill="C0C0C0"/>
          </w:tcPr>
          <w:p>
            <w:pPr>
              <w:spacing w:after="0"/>
              <w:rPr>
                <w:sz w:val="21"/>
                <w:szCs w:val="21"/>
                <w:color w:val="auto"/>
              </w:rPr>
            </w:pPr>
          </w:p>
        </w:tc>
        <w:tc>
          <w:tcPr>
            <w:tcW w:w="106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21,257</w:t>
            </w:r>
          </w:p>
        </w:tc>
        <w:tc>
          <w:tcPr>
            <w:tcW w:w="260" w:type="dxa"/>
            <w:vAlign w:val="bottom"/>
            <w:shd w:val="clear" w:color="auto" w:fill="C0C0C0"/>
          </w:tcPr>
          <w:p>
            <w:pPr>
              <w:spacing w:after="0"/>
              <w:rPr>
                <w:sz w:val="21"/>
                <w:szCs w:val="21"/>
                <w:color w:val="auto"/>
              </w:rPr>
            </w:pPr>
          </w:p>
        </w:tc>
        <w:tc>
          <w:tcPr>
            <w:tcW w:w="1080" w:type="dxa"/>
            <w:vAlign w:val="bottom"/>
            <w:shd w:val="clear" w:color="auto" w:fill="C0C0C0"/>
          </w:tcPr>
          <w:p>
            <w:pPr>
              <w:spacing w:after="0"/>
              <w:rPr>
                <w:sz w:val="21"/>
                <w:szCs w:val="21"/>
                <w:color w:val="auto"/>
              </w:rPr>
            </w:pPr>
          </w:p>
        </w:tc>
        <w:tc>
          <w:tcPr>
            <w:tcW w:w="6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06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20,496</w:t>
            </w:r>
          </w:p>
        </w:tc>
        <w:tc>
          <w:tcPr>
            <w:tcW w:w="240" w:type="dxa"/>
            <w:vAlign w:val="bottom"/>
            <w:shd w:val="clear" w:color="auto" w:fill="C0C0C0"/>
          </w:tcPr>
          <w:p>
            <w:pPr>
              <w:spacing w:after="0"/>
              <w:rPr>
                <w:sz w:val="21"/>
                <w:szCs w:val="21"/>
                <w:color w:val="auto"/>
              </w:rPr>
            </w:pPr>
          </w:p>
        </w:tc>
        <w:tc>
          <w:tcPr>
            <w:tcW w:w="1020" w:type="dxa"/>
            <w:vAlign w:val="bottom"/>
            <w:shd w:val="clear" w:color="auto" w:fill="C0C0C0"/>
          </w:tcPr>
          <w:p>
            <w:pPr>
              <w:spacing w:after="0"/>
              <w:rPr>
                <w:sz w:val="21"/>
                <w:szCs w:val="21"/>
                <w:color w:val="auto"/>
              </w:rPr>
            </w:pPr>
          </w:p>
        </w:tc>
        <w:tc>
          <w:tcPr>
            <w:tcW w:w="600" w:type="dxa"/>
            <w:vAlign w:val="bottom"/>
            <w:shd w:val="clear" w:color="auto" w:fill="C0C0C0"/>
          </w:tcPr>
          <w:p>
            <w:pPr>
              <w:spacing w:after="0"/>
              <w:rPr>
                <w:sz w:val="21"/>
                <w:szCs w:val="21"/>
                <w:color w:val="auto"/>
              </w:rPr>
            </w:pPr>
          </w:p>
        </w:tc>
      </w:tr>
      <w:tr>
        <w:trPr>
          <w:trHeight w:val="235"/>
        </w:trPr>
        <w:tc>
          <w:tcPr>
            <w:tcW w:w="4900" w:type="dxa"/>
            <w:vAlign w:val="bottom"/>
          </w:tcPr>
          <w:p>
            <w:pPr>
              <w:ind w:left="280"/>
              <w:spacing w:after="0"/>
              <w:rPr>
                <w:sz w:val="20"/>
                <w:szCs w:val="20"/>
                <w:color w:val="auto"/>
              </w:rPr>
            </w:pPr>
            <w:r>
              <w:rPr>
                <w:rFonts w:ascii="Arial" w:cs="Arial" w:eastAsia="Arial" w:hAnsi="Arial"/>
                <w:sz w:val="18"/>
                <w:szCs w:val="18"/>
                <w:color w:val="auto"/>
              </w:rPr>
              <w:t>Bank-owned life insurance</w:t>
            </w:r>
          </w:p>
        </w:tc>
        <w:tc>
          <w:tcPr>
            <w:tcW w:w="160" w:type="dxa"/>
            <w:vAlign w:val="bottom"/>
          </w:tcPr>
          <w:p>
            <w:pPr>
              <w:spacing w:after="0"/>
              <w:rPr>
                <w:sz w:val="20"/>
                <w:szCs w:val="20"/>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16,615</w:t>
            </w: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16,110</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51"/>
        </w:trPr>
        <w:tc>
          <w:tcPr>
            <w:tcW w:w="4900" w:type="dxa"/>
            <w:vAlign w:val="bottom"/>
            <w:shd w:val="clear" w:color="auto" w:fill="C0C0C0"/>
          </w:tcPr>
          <w:p>
            <w:pPr>
              <w:ind w:left="280"/>
              <w:spacing w:after="0"/>
              <w:rPr>
                <w:sz w:val="20"/>
                <w:szCs w:val="20"/>
                <w:color w:val="auto"/>
              </w:rPr>
            </w:pPr>
            <w:r>
              <w:rPr>
                <w:rFonts w:ascii="Arial" w:cs="Arial" w:eastAsia="Arial" w:hAnsi="Arial"/>
                <w:sz w:val="18"/>
                <w:szCs w:val="18"/>
                <w:color w:val="auto"/>
              </w:rPr>
              <w:t>Goodwill and other intangibles</w:t>
            </w:r>
          </w:p>
        </w:tc>
        <w:tc>
          <w:tcPr>
            <w:tcW w:w="160" w:type="dxa"/>
            <w:vAlign w:val="bottom"/>
            <w:shd w:val="clear" w:color="auto" w:fill="C0C0C0"/>
          </w:tcPr>
          <w:p>
            <w:pPr>
              <w:spacing w:after="0"/>
              <w:rPr>
                <w:sz w:val="21"/>
                <w:szCs w:val="21"/>
                <w:color w:val="auto"/>
              </w:rPr>
            </w:pPr>
          </w:p>
        </w:tc>
        <w:tc>
          <w:tcPr>
            <w:tcW w:w="106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14,518</w:t>
            </w:r>
          </w:p>
        </w:tc>
        <w:tc>
          <w:tcPr>
            <w:tcW w:w="260" w:type="dxa"/>
            <w:vAlign w:val="bottom"/>
            <w:shd w:val="clear" w:color="auto" w:fill="C0C0C0"/>
          </w:tcPr>
          <w:p>
            <w:pPr>
              <w:spacing w:after="0"/>
              <w:rPr>
                <w:sz w:val="21"/>
                <w:szCs w:val="21"/>
                <w:color w:val="auto"/>
              </w:rPr>
            </w:pPr>
          </w:p>
        </w:tc>
        <w:tc>
          <w:tcPr>
            <w:tcW w:w="1080" w:type="dxa"/>
            <w:vAlign w:val="bottom"/>
            <w:shd w:val="clear" w:color="auto" w:fill="C0C0C0"/>
          </w:tcPr>
          <w:p>
            <w:pPr>
              <w:spacing w:after="0"/>
              <w:rPr>
                <w:sz w:val="21"/>
                <w:szCs w:val="21"/>
                <w:color w:val="auto"/>
              </w:rPr>
            </w:pPr>
          </w:p>
        </w:tc>
        <w:tc>
          <w:tcPr>
            <w:tcW w:w="6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06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13,851</w:t>
            </w:r>
          </w:p>
        </w:tc>
        <w:tc>
          <w:tcPr>
            <w:tcW w:w="240" w:type="dxa"/>
            <w:vAlign w:val="bottom"/>
            <w:shd w:val="clear" w:color="auto" w:fill="C0C0C0"/>
          </w:tcPr>
          <w:p>
            <w:pPr>
              <w:spacing w:after="0"/>
              <w:rPr>
                <w:sz w:val="21"/>
                <w:szCs w:val="21"/>
                <w:color w:val="auto"/>
              </w:rPr>
            </w:pPr>
          </w:p>
        </w:tc>
        <w:tc>
          <w:tcPr>
            <w:tcW w:w="1020" w:type="dxa"/>
            <w:vAlign w:val="bottom"/>
            <w:shd w:val="clear" w:color="auto" w:fill="C0C0C0"/>
          </w:tcPr>
          <w:p>
            <w:pPr>
              <w:spacing w:after="0"/>
              <w:rPr>
                <w:sz w:val="21"/>
                <w:szCs w:val="21"/>
                <w:color w:val="auto"/>
              </w:rPr>
            </w:pPr>
          </w:p>
        </w:tc>
        <w:tc>
          <w:tcPr>
            <w:tcW w:w="600" w:type="dxa"/>
            <w:vAlign w:val="bottom"/>
            <w:shd w:val="clear" w:color="auto" w:fill="C0C0C0"/>
          </w:tcPr>
          <w:p>
            <w:pPr>
              <w:spacing w:after="0"/>
              <w:rPr>
                <w:sz w:val="21"/>
                <w:szCs w:val="21"/>
                <w:color w:val="auto"/>
              </w:rPr>
            </w:pPr>
          </w:p>
        </w:tc>
      </w:tr>
      <w:tr>
        <w:trPr>
          <w:trHeight w:val="235"/>
        </w:trPr>
        <w:tc>
          <w:tcPr>
            <w:tcW w:w="4900" w:type="dxa"/>
            <w:vAlign w:val="bottom"/>
          </w:tcPr>
          <w:p>
            <w:pPr>
              <w:ind w:left="28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20"/>
                <w:szCs w:val="20"/>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145,173</w:t>
            </w: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147,701</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44"/>
        </w:trPr>
        <w:tc>
          <w:tcPr>
            <w:tcW w:w="4900" w:type="dxa"/>
            <w:vAlign w:val="bottom"/>
            <w:tcBorders>
              <w:bottom w:val="single" w:sz="8" w:color="auto"/>
            </w:tcBorders>
            <w:shd w:val="clear" w:color="auto" w:fill="C0C0C0"/>
          </w:tcPr>
          <w:p>
            <w:pPr>
              <w:ind w:left="280"/>
              <w:spacing w:after="0"/>
              <w:rPr>
                <w:sz w:val="20"/>
                <w:szCs w:val="20"/>
                <w:color w:val="auto"/>
              </w:rPr>
            </w:pPr>
            <w:r>
              <w:rPr>
                <w:rFonts w:ascii="Arial" w:cs="Arial" w:eastAsia="Arial" w:hAnsi="Arial"/>
                <w:sz w:val="18"/>
                <w:szCs w:val="18"/>
                <w:color w:val="auto"/>
              </w:rPr>
              <w:t>Allowance for loan losses</w:t>
            </w:r>
          </w:p>
        </w:tc>
        <w:tc>
          <w:tcPr>
            <w:tcW w:w="160" w:type="dxa"/>
            <w:vAlign w:val="bottom"/>
            <w:tcBorders>
              <w:bottom w:val="single" w:sz="8" w:color="auto"/>
            </w:tcBorders>
            <w:shd w:val="clear" w:color="auto" w:fill="C0C0C0"/>
          </w:tcPr>
          <w:p>
            <w:pPr>
              <w:spacing w:after="0"/>
              <w:rPr>
                <w:sz w:val="21"/>
                <w:szCs w:val="21"/>
                <w:color w:val="auto"/>
              </w:rPr>
            </w:pPr>
          </w:p>
        </w:tc>
        <w:tc>
          <w:tcPr>
            <w:tcW w:w="1060" w:type="dxa"/>
            <w:vAlign w:val="bottom"/>
            <w:tcBorders>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rPr>
              <w:t>(10,193)</w:t>
            </w:r>
          </w:p>
        </w:tc>
        <w:tc>
          <w:tcPr>
            <w:tcW w:w="260" w:type="dxa"/>
            <w:vAlign w:val="bottom"/>
            <w:tcBorders>
              <w:bottom w:val="single" w:sz="8" w:color="auto"/>
            </w:tcBorders>
            <w:shd w:val="clear" w:color="auto" w:fill="C0C0C0"/>
          </w:tcPr>
          <w:p>
            <w:pPr>
              <w:spacing w:after="0"/>
              <w:rPr>
                <w:sz w:val="21"/>
                <w:szCs w:val="21"/>
                <w:color w:val="auto"/>
              </w:rPr>
            </w:pPr>
          </w:p>
        </w:tc>
        <w:tc>
          <w:tcPr>
            <w:tcW w:w="1080" w:type="dxa"/>
            <w:vAlign w:val="bottom"/>
            <w:tcBorders>
              <w:bottom w:val="single" w:sz="8" w:color="auto"/>
            </w:tcBorders>
            <w:shd w:val="clear" w:color="auto" w:fill="C0C0C0"/>
          </w:tcPr>
          <w:p>
            <w:pPr>
              <w:spacing w:after="0"/>
              <w:rPr>
                <w:sz w:val="21"/>
                <w:szCs w:val="21"/>
                <w:color w:val="auto"/>
              </w:rPr>
            </w:pPr>
          </w:p>
        </w:tc>
        <w:tc>
          <w:tcPr>
            <w:tcW w:w="620" w:type="dxa"/>
            <w:vAlign w:val="bottom"/>
            <w:tcBorders>
              <w:bottom w:val="single" w:sz="8" w:color="auto"/>
            </w:tcBorders>
            <w:shd w:val="clear" w:color="auto" w:fill="C0C0C0"/>
          </w:tcPr>
          <w:p>
            <w:pPr>
              <w:spacing w:after="0"/>
              <w:rPr>
                <w:sz w:val="21"/>
                <w:szCs w:val="21"/>
                <w:color w:val="auto"/>
              </w:rPr>
            </w:pPr>
          </w:p>
        </w:tc>
        <w:tc>
          <w:tcPr>
            <w:tcW w:w="260" w:type="dxa"/>
            <w:vAlign w:val="bottom"/>
            <w:tcBorders>
              <w:bottom w:val="single" w:sz="8" w:color="auto"/>
            </w:tcBorders>
            <w:shd w:val="clear" w:color="auto" w:fill="C0C0C0"/>
          </w:tcPr>
          <w:p>
            <w:pPr>
              <w:spacing w:after="0"/>
              <w:rPr>
                <w:sz w:val="21"/>
                <w:szCs w:val="21"/>
                <w:color w:val="auto"/>
              </w:rPr>
            </w:pPr>
          </w:p>
        </w:tc>
        <w:tc>
          <w:tcPr>
            <w:tcW w:w="160" w:type="dxa"/>
            <w:vAlign w:val="bottom"/>
            <w:tcBorders>
              <w:bottom w:val="single" w:sz="8" w:color="auto"/>
            </w:tcBorders>
            <w:shd w:val="clear" w:color="auto" w:fill="C0C0C0"/>
          </w:tcPr>
          <w:p>
            <w:pPr>
              <w:spacing w:after="0"/>
              <w:rPr>
                <w:sz w:val="21"/>
                <w:szCs w:val="21"/>
                <w:color w:val="auto"/>
              </w:rPr>
            </w:pPr>
          </w:p>
        </w:tc>
        <w:tc>
          <w:tcPr>
            <w:tcW w:w="106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(10,649)</w:t>
            </w:r>
          </w:p>
        </w:tc>
        <w:tc>
          <w:tcPr>
            <w:tcW w:w="240" w:type="dxa"/>
            <w:vAlign w:val="bottom"/>
            <w:tcBorders>
              <w:bottom w:val="single" w:sz="8" w:color="auto"/>
            </w:tcBorders>
            <w:shd w:val="clear" w:color="auto" w:fill="C0C0C0"/>
          </w:tcPr>
          <w:p>
            <w:pPr>
              <w:spacing w:after="0"/>
              <w:rPr>
                <w:sz w:val="21"/>
                <w:szCs w:val="21"/>
                <w:color w:val="auto"/>
              </w:rPr>
            </w:pPr>
          </w:p>
        </w:tc>
        <w:tc>
          <w:tcPr>
            <w:tcW w:w="1020" w:type="dxa"/>
            <w:vAlign w:val="bottom"/>
            <w:tcBorders>
              <w:bottom w:val="single" w:sz="8" w:color="auto"/>
            </w:tcBorders>
            <w:shd w:val="clear" w:color="auto" w:fill="C0C0C0"/>
          </w:tcPr>
          <w:p>
            <w:pPr>
              <w:spacing w:after="0"/>
              <w:rPr>
                <w:sz w:val="21"/>
                <w:szCs w:val="21"/>
                <w:color w:val="auto"/>
              </w:rPr>
            </w:pPr>
          </w:p>
        </w:tc>
        <w:tc>
          <w:tcPr>
            <w:tcW w:w="600" w:type="dxa"/>
            <w:vAlign w:val="bottom"/>
            <w:tcBorders>
              <w:bottom w:val="single" w:sz="8" w:color="auto"/>
            </w:tcBorders>
            <w:shd w:val="clear" w:color="auto" w:fill="C0C0C0"/>
          </w:tcPr>
          <w:p>
            <w:pPr>
              <w:spacing w:after="0"/>
              <w:rPr>
                <w:sz w:val="21"/>
                <w:szCs w:val="21"/>
                <w:color w:val="auto"/>
              </w:rPr>
            </w:pPr>
          </w:p>
        </w:tc>
      </w:tr>
      <w:tr>
        <w:trPr>
          <w:trHeight w:val="237"/>
        </w:trPr>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1,532,642</w:t>
            </w: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1,488,329</w:t>
            </w: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r>
      <w:tr>
        <w:trPr>
          <w:trHeight w:val="311"/>
        </w:trPr>
        <w:tc>
          <w:tcPr>
            <w:tcW w:w="4900" w:type="dxa"/>
            <w:vAlign w:val="bottom"/>
            <w:shd w:val="clear" w:color="auto" w:fill="C0C0C0"/>
          </w:tcPr>
          <w:p>
            <w:pPr>
              <w:spacing w:after="0" w:line="310" w:lineRule="exact"/>
              <w:rPr>
                <w:sz w:val="20"/>
                <w:szCs w:val="20"/>
                <w:color w:val="auto"/>
              </w:rPr>
            </w:pPr>
            <w:r>
              <w:rPr>
                <w:rFonts w:ascii="Arial" w:cs="Arial" w:eastAsia="Arial" w:hAnsi="Arial"/>
                <w:sz w:val="18"/>
                <w:szCs w:val="18"/>
                <w:b w:val="1"/>
                <w:bCs w:val="1"/>
                <w:color w:val="auto"/>
              </w:rPr>
              <w:t>Liabilities and Shareholders’ Equity</w:t>
            </w:r>
            <w:r>
              <w:rPr>
                <w:rFonts w:ascii="Arial" w:cs="Arial" w:eastAsia="Arial" w:hAnsi="Arial"/>
                <w:sz w:val="29"/>
                <w:szCs w:val="29"/>
                <w:b w:val="1"/>
                <w:bCs w:val="1"/>
                <w:color w:val="auto"/>
                <w:vertAlign w:val="superscript"/>
              </w:rPr>
              <w:t>1</w:t>
            </w:r>
          </w:p>
        </w:tc>
        <w:tc>
          <w:tcPr>
            <w:tcW w:w="160" w:type="dxa"/>
            <w:vAlign w:val="bottom"/>
            <w:shd w:val="clear" w:color="auto" w:fill="C0C0C0"/>
          </w:tcPr>
          <w:p>
            <w:pPr>
              <w:spacing w:after="0"/>
              <w:rPr>
                <w:sz w:val="24"/>
                <w:szCs w:val="24"/>
                <w:color w:val="auto"/>
              </w:rPr>
            </w:pPr>
          </w:p>
        </w:tc>
        <w:tc>
          <w:tcPr>
            <w:tcW w:w="1060" w:type="dxa"/>
            <w:vAlign w:val="bottom"/>
            <w:shd w:val="clear" w:color="auto" w:fill="C0C0C0"/>
          </w:tcPr>
          <w:p>
            <w:pPr>
              <w:spacing w:after="0"/>
              <w:rPr>
                <w:sz w:val="24"/>
                <w:szCs w:val="24"/>
                <w:color w:val="auto"/>
              </w:rPr>
            </w:pPr>
          </w:p>
        </w:tc>
        <w:tc>
          <w:tcPr>
            <w:tcW w:w="260" w:type="dxa"/>
            <w:vAlign w:val="bottom"/>
            <w:shd w:val="clear" w:color="auto" w:fill="C0C0C0"/>
          </w:tcPr>
          <w:p>
            <w:pPr>
              <w:spacing w:after="0"/>
              <w:rPr>
                <w:sz w:val="24"/>
                <w:szCs w:val="24"/>
                <w:color w:val="auto"/>
              </w:rPr>
            </w:pPr>
          </w:p>
        </w:tc>
        <w:tc>
          <w:tcPr>
            <w:tcW w:w="1080" w:type="dxa"/>
            <w:vAlign w:val="bottom"/>
            <w:shd w:val="clear" w:color="auto" w:fill="C0C0C0"/>
          </w:tcPr>
          <w:p>
            <w:pPr>
              <w:spacing w:after="0"/>
              <w:rPr>
                <w:sz w:val="24"/>
                <w:szCs w:val="24"/>
                <w:color w:val="auto"/>
              </w:rPr>
            </w:pPr>
          </w:p>
        </w:tc>
        <w:tc>
          <w:tcPr>
            <w:tcW w:w="620" w:type="dxa"/>
            <w:vAlign w:val="bottom"/>
            <w:shd w:val="clear" w:color="auto" w:fill="C0C0C0"/>
          </w:tcPr>
          <w:p>
            <w:pPr>
              <w:spacing w:after="0"/>
              <w:rPr>
                <w:sz w:val="24"/>
                <w:szCs w:val="24"/>
                <w:color w:val="auto"/>
              </w:rPr>
            </w:pPr>
          </w:p>
        </w:tc>
        <w:tc>
          <w:tcPr>
            <w:tcW w:w="260" w:type="dxa"/>
            <w:vAlign w:val="bottom"/>
            <w:shd w:val="clear" w:color="auto" w:fill="C0C0C0"/>
          </w:tcPr>
          <w:p>
            <w:pPr>
              <w:spacing w:after="0"/>
              <w:rPr>
                <w:sz w:val="24"/>
                <w:szCs w:val="24"/>
                <w:color w:val="auto"/>
              </w:rPr>
            </w:pPr>
          </w:p>
        </w:tc>
        <w:tc>
          <w:tcPr>
            <w:tcW w:w="160" w:type="dxa"/>
            <w:vAlign w:val="bottom"/>
            <w:shd w:val="clear" w:color="auto" w:fill="C0C0C0"/>
          </w:tcPr>
          <w:p>
            <w:pPr>
              <w:spacing w:after="0"/>
              <w:rPr>
                <w:sz w:val="24"/>
                <w:szCs w:val="24"/>
                <w:color w:val="auto"/>
              </w:rPr>
            </w:pPr>
          </w:p>
        </w:tc>
        <w:tc>
          <w:tcPr>
            <w:tcW w:w="1060" w:type="dxa"/>
            <w:vAlign w:val="bottom"/>
            <w:shd w:val="clear" w:color="auto" w:fill="C0C0C0"/>
          </w:tcPr>
          <w:p>
            <w:pPr>
              <w:spacing w:after="0"/>
              <w:rPr>
                <w:sz w:val="24"/>
                <w:szCs w:val="24"/>
                <w:color w:val="auto"/>
              </w:rPr>
            </w:pPr>
          </w:p>
        </w:tc>
        <w:tc>
          <w:tcPr>
            <w:tcW w:w="240" w:type="dxa"/>
            <w:vAlign w:val="bottom"/>
            <w:shd w:val="clear" w:color="auto" w:fill="C0C0C0"/>
          </w:tcPr>
          <w:p>
            <w:pPr>
              <w:spacing w:after="0"/>
              <w:rPr>
                <w:sz w:val="24"/>
                <w:szCs w:val="24"/>
                <w:color w:val="auto"/>
              </w:rPr>
            </w:pPr>
          </w:p>
        </w:tc>
        <w:tc>
          <w:tcPr>
            <w:tcW w:w="1020" w:type="dxa"/>
            <w:vAlign w:val="bottom"/>
            <w:shd w:val="clear" w:color="auto" w:fill="C0C0C0"/>
          </w:tcPr>
          <w:p>
            <w:pPr>
              <w:spacing w:after="0"/>
              <w:rPr>
                <w:sz w:val="24"/>
                <w:szCs w:val="24"/>
                <w:color w:val="auto"/>
              </w:rPr>
            </w:pPr>
          </w:p>
        </w:tc>
        <w:tc>
          <w:tcPr>
            <w:tcW w:w="600" w:type="dxa"/>
            <w:vAlign w:val="bottom"/>
            <w:shd w:val="clear" w:color="auto" w:fill="C0C0C0"/>
          </w:tcPr>
          <w:p>
            <w:pPr>
              <w:spacing w:after="0"/>
              <w:rPr>
                <w:sz w:val="24"/>
                <w:szCs w:val="24"/>
                <w:color w:val="auto"/>
              </w:rPr>
            </w:pPr>
          </w:p>
        </w:tc>
      </w:tr>
      <w:tr>
        <w:trPr>
          <w:trHeight w:val="235"/>
        </w:trPr>
        <w:tc>
          <w:tcPr>
            <w:tcW w:w="4900" w:type="dxa"/>
            <w:vAlign w:val="bottom"/>
          </w:tcPr>
          <w:p>
            <w:pPr>
              <w:spacing w:after="0"/>
              <w:rPr>
                <w:sz w:val="20"/>
                <w:szCs w:val="20"/>
                <w:color w:val="auto"/>
              </w:rPr>
            </w:pPr>
            <w:r>
              <w:rPr>
                <w:rFonts w:ascii="Arial" w:cs="Arial" w:eastAsia="Arial" w:hAnsi="Arial"/>
                <w:sz w:val="18"/>
                <w:szCs w:val="18"/>
                <w:color w:val="auto"/>
              </w:rPr>
              <w:t>Interest-bearing liabilities</w:t>
            </w: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51"/>
        </w:trPr>
        <w:tc>
          <w:tcPr>
            <w:tcW w:w="4900" w:type="dxa"/>
            <w:vAlign w:val="bottom"/>
            <w:shd w:val="clear" w:color="auto" w:fill="C0C0C0"/>
          </w:tcPr>
          <w:p>
            <w:pPr>
              <w:ind w:left="280"/>
              <w:spacing w:after="0"/>
              <w:rPr>
                <w:sz w:val="20"/>
                <w:szCs w:val="20"/>
                <w:color w:val="auto"/>
              </w:rPr>
            </w:pPr>
            <w:r>
              <w:rPr>
                <w:rFonts w:ascii="Arial" w:cs="Arial" w:eastAsia="Arial" w:hAnsi="Arial"/>
                <w:sz w:val="18"/>
                <w:szCs w:val="18"/>
                <w:color w:val="auto"/>
              </w:rPr>
              <w:t>Interest-bearing demand deposits</w:t>
            </w:r>
          </w:p>
        </w:tc>
        <w:tc>
          <w:tcPr>
            <w:tcW w:w="160" w:type="dxa"/>
            <w:vAlign w:val="bottom"/>
            <w:shd w:val="clear" w:color="auto" w:fill="C0C0C0"/>
          </w:tcPr>
          <w:p>
            <w:pPr>
              <w:jc w:val="right"/>
              <w:ind w:right="3"/>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311,782</w:t>
            </w:r>
          </w:p>
        </w:tc>
        <w:tc>
          <w:tcPr>
            <w:tcW w:w="2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0C0C0"/>
          </w:tcPr>
          <w:p>
            <w:pPr>
              <w:jc w:val="right"/>
              <w:ind w:right="212"/>
              <w:spacing w:after="0"/>
              <w:rPr>
                <w:sz w:val="20"/>
                <w:szCs w:val="20"/>
                <w:color w:val="auto"/>
              </w:rPr>
            </w:pPr>
            <w:r>
              <w:rPr>
                <w:rFonts w:ascii="Arial" w:cs="Arial" w:eastAsia="Arial" w:hAnsi="Arial"/>
                <w:sz w:val="18"/>
                <w:szCs w:val="18"/>
                <w:color w:val="auto"/>
              </w:rPr>
              <w:t>331</w:t>
            </w:r>
          </w:p>
        </w:tc>
        <w:tc>
          <w:tcPr>
            <w:tcW w:w="6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.43%</w:t>
            </w:r>
          </w:p>
        </w:tc>
        <w:tc>
          <w:tcPr>
            <w:tcW w:w="260" w:type="dxa"/>
            <w:vAlign w:val="bottom"/>
            <w:shd w:val="clear" w:color="auto" w:fill="C0C0C0"/>
          </w:tcPr>
          <w:p>
            <w:pPr>
              <w:spacing w:after="0"/>
              <w:rPr>
                <w:sz w:val="21"/>
                <w:szCs w:val="21"/>
                <w:color w:val="auto"/>
              </w:rPr>
            </w:pPr>
          </w:p>
        </w:tc>
        <w:tc>
          <w:tcPr>
            <w:tcW w:w="160" w:type="dxa"/>
            <w:vAlign w:val="bottom"/>
            <w:shd w:val="clear" w:color="auto" w:fill="C0C0C0"/>
          </w:tcPr>
          <w:p>
            <w:pPr>
              <w:jc w:val="right"/>
              <w:ind w:right="3"/>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347,598</w:t>
            </w:r>
          </w:p>
        </w:tc>
        <w:tc>
          <w:tcPr>
            <w:tcW w:w="2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0C0C0"/>
          </w:tcPr>
          <w:p>
            <w:pPr>
              <w:jc w:val="right"/>
              <w:ind w:right="212"/>
              <w:spacing w:after="0"/>
              <w:rPr>
                <w:sz w:val="20"/>
                <w:szCs w:val="20"/>
                <w:color w:val="auto"/>
              </w:rPr>
            </w:pPr>
            <w:r>
              <w:rPr>
                <w:rFonts w:ascii="Arial" w:cs="Arial" w:eastAsia="Arial" w:hAnsi="Arial"/>
                <w:sz w:val="18"/>
                <w:szCs w:val="18"/>
                <w:color w:val="auto"/>
              </w:rPr>
              <w:t>345</w:t>
            </w:r>
          </w:p>
        </w:tc>
        <w:tc>
          <w:tcPr>
            <w:tcW w:w="6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.40%</w:t>
            </w:r>
          </w:p>
        </w:tc>
      </w:tr>
      <w:tr>
        <w:trPr>
          <w:trHeight w:val="235"/>
        </w:trPr>
        <w:tc>
          <w:tcPr>
            <w:tcW w:w="4900" w:type="dxa"/>
            <w:vAlign w:val="bottom"/>
          </w:tcPr>
          <w:p>
            <w:pPr>
              <w:ind w:left="280"/>
              <w:spacing w:after="0"/>
              <w:rPr>
                <w:sz w:val="20"/>
                <w:szCs w:val="20"/>
                <w:color w:val="auto"/>
              </w:rPr>
            </w:pPr>
            <w:r>
              <w:rPr>
                <w:rFonts w:ascii="Arial" w:cs="Arial" w:eastAsia="Arial" w:hAnsi="Arial"/>
                <w:sz w:val="18"/>
                <w:szCs w:val="18"/>
                <w:color w:val="auto"/>
              </w:rPr>
              <w:t>Savings deposits</w:t>
            </w:r>
          </w:p>
        </w:tc>
        <w:tc>
          <w:tcPr>
            <w:tcW w:w="160" w:type="dxa"/>
            <w:vAlign w:val="bottom"/>
          </w:tcPr>
          <w:p>
            <w:pPr>
              <w:spacing w:after="0"/>
              <w:rPr>
                <w:sz w:val="20"/>
                <w:szCs w:val="20"/>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13,271</w:t>
            </w:r>
          </w:p>
        </w:tc>
        <w:tc>
          <w:tcPr>
            <w:tcW w:w="260" w:type="dxa"/>
            <w:vAlign w:val="bottom"/>
          </w:tcPr>
          <w:p>
            <w:pPr>
              <w:spacing w:after="0"/>
              <w:rPr>
                <w:sz w:val="20"/>
                <w:szCs w:val="20"/>
                <w:color w:val="auto"/>
              </w:rPr>
            </w:pPr>
          </w:p>
        </w:tc>
        <w:tc>
          <w:tcPr>
            <w:tcW w:w="1080" w:type="dxa"/>
            <w:vAlign w:val="bottom"/>
          </w:tcPr>
          <w:p>
            <w:pPr>
              <w:jc w:val="right"/>
              <w:ind w:right="212"/>
              <w:spacing w:after="0"/>
              <w:rPr>
                <w:sz w:val="20"/>
                <w:szCs w:val="20"/>
                <w:color w:val="auto"/>
              </w:rPr>
            </w:pPr>
            <w:r>
              <w:rPr>
                <w:rFonts w:ascii="Arial" w:cs="Arial" w:eastAsia="Arial" w:hAnsi="Arial"/>
                <w:sz w:val="18"/>
                <w:szCs w:val="18"/>
                <w:color w:val="auto"/>
              </w:rPr>
              <w:t>15</w:t>
            </w:r>
          </w:p>
        </w:tc>
        <w:tc>
          <w:tcPr>
            <w:tcW w:w="620" w:type="dxa"/>
            <w:vAlign w:val="bottom"/>
          </w:tcPr>
          <w:p>
            <w:pPr>
              <w:jc w:val="right"/>
              <w:ind w:right="72"/>
              <w:spacing w:after="0"/>
              <w:rPr>
                <w:sz w:val="20"/>
                <w:szCs w:val="20"/>
                <w:color w:val="auto"/>
              </w:rPr>
            </w:pPr>
            <w:r>
              <w:rPr>
                <w:rFonts w:ascii="Arial" w:cs="Arial" w:eastAsia="Arial" w:hAnsi="Arial"/>
                <w:sz w:val="18"/>
                <w:szCs w:val="18"/>
                <w:color w:val="auto"/>
              </w:rPr>
              <w:t>.45</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17,634</w:t>
            </w:r>
          </w:p>
        </w:tc>
        <w:tc>
          <w:tcPr>
            <w:tcW w:w="240" w:type="dxa"/>
            <w:vAlign w:val="bottom"/>
          </w:tcPr>
          <w:p>
            <w:pPr>
              <w:spacing w:after="0"/>
              <w:rPr>
                <w:sz w:val="20"/>
                <w:szCs w:val="20"/>
                <w:color w:val="auto"/>
              </w:rPr>
            </w:pPr>
          </w:p>
        </w:tc>
        <w:tc>
          <w:tcPr>
            <w:tcW w:w="1020" w:type="dxa"/>
            <w:vAlign w:val="bottom"/>
          </w:tcPr>
          <w:p>
            <w:pPr>
              <w:jc w:val="right"/>
              <w:ind w:right="212"/>
              <w:spacing w:after="0"/>
              <w:rPr>
                <w:sz w:val="20"/>
                <w:szCs w:val="20"/>
                <w:color w:val="auto"/>
              </w:rPr>
            </w:pPr>
            <w:r>
              <w:rPr>
                <w:rFonts w:ascii="Arial" w:cs="Arial" w:eastAsia="Arial" w:hAnsi="Arial"/>
                <w:sz w:val="18"/>
                <w:szCs w:val="18"/>
                <w:color w:val="auto"/>
              </w:rPr>
              <w:t>21</w:t>
            </w:r>
          </w:p>
        </w:tc>
        <w:tc>
          <w:tcPr>
            <w:tcW w:w="600" w:type="dxa"/>
            <w:vAlign w:val="bottom"/>
          </w:tcPr>
          <w:p>
            <w:pPr>
              <w:jc w:val="right"/>
              <w:ind w:right="52"/>
              <w:spacing w:after="0"/>
              <w:rPr>
                <w:sz w:val="20"/>
                <w:szCs w:val="20"/>
                <w:color w:val="auto"/>
              </w:rPr>
            </w:pPr>
            <w:r>
              <w:rPr>
                <w:rFonts w:ascii="Arial" w:cs="Arial" w:eastAsia="Arial" w:hAnsi="Arial"/>
                <w:sz w:val="18"/>
                <w:szCs w:val="18"/>
                <w:color w:val="auto"/>
              </w:rPr>
              <w:t>.48</w:t>
            </w:r>
          </w:p>
        </w:tc>
      </w:tr>
      <w:tr>
        <w:trPr>
          <w:trHeight w:val="251"/>
        </w:trPr>
        <w:tc>
          <w:tcPr>
            <w:tcW w:w="4900" w:type="dxa"/>
            <w:vAlign w:val="bottom"/>
            <w:shd w:val="clear" w:color="auto" w:fill="C0C0C0"/>
          </w:tcPr>
          <w:p>
            <w:pPr>
              <w:ind w:left="280"/>
              <w:spacing w:after="0"/>
              <w:rPr>
                <w:sz w:val="20"/>
                <w:szCs w:val="20"/>
                <w:color w:val="auto"/>
              </w:rPr>
            </w:pPr>
            <w:r>
              <w:rPr>
                <w:rFonts w:ascii="Arial" w:cs="Arial" w:eastAsia="Arial" w:hAnsi="Arial"/>
                <w:sz w:val="18"/>
                <w:szCs w:val="18"/>
                <w:color w:val="auto"/>
              </w:rPr>
              <w:t>Time deposits &gt;= $100</w:t>
            </w:r>
          </w:p>
        </w:tc>
        <w:tc>
          <w:tcPr>
            <w:tcW w:w="160" w:type="dxa"/>
            <w:vAlign w:val="bottom"/>
            <w:shd w:val="clear" w:color="auto" w:fill="C0C0C0"/>
          </w:tcPr>
          <w:p>
            <w:pPr>
              <w:spacing w:after="0"/>
              <w:rPr>
                <w:sz w:val="21"/>
                <w:szCs w:val="21"/>
                <w:color w:val="auto"/>
              </w:rPr>
            </w:pPr>
          </w:p>
        </w:tc>
        <w:tc>
          <w:tcPr>
            <w:tcW w:w="106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23,508</w:t>
            </w:r>
          </w:p>
        </w:tc>
        <w:tc>
          <w:tcPr>
            <w:tcW w:w="260" w:type="dxa"/>
            <w:vAlign w:val="bottom"/>
            <w:shd w:val="clear" w:color="auto" w:fill="C0C0C0"/>
          </w:tcPr>
          <w:p>
            <w:pPr>
              <w:spacing w:after="0"/>
              <w:rPr>
                <w:sz w:val="21"/>
                <w:szCs w:val="21"/>
                <w:color w:val="auto"/>
              </w:rPr>
            </w:pPr>
          </w:p>
        </w:tc>
        <w:tc>
          <w:tcPr>
            <w:tcW w:w="1080" w:type="dxa"/>
            <w:vAlign w:val="bottom"/>
            <w:shd w:val="clear" w:color="auto" w:fill="C0C0C0"/>
          </w:tcPr>
          <w:p>
            <w:pPr>
              <w:jc w:val="right"/>
              <w:ind w:right="212"/>
              <w:spacing w:after="0"/>
              <w:rPr>
                <w:sz w:val="20"/>
                <w:szCs w:val="20"/>
                <w:color w:val="auto"/>
              </w:rPr>
            </w:pPr>
            <w:r>
              <w:rPr>
                <w:rFonts w:ascii="Arial" w:cs="Arial" w:eastAsia="Arial" w:hAnsi="Arial"/>
                <w:sz w:val="18"/>
                <w:szCs w:val="18"/>
                <w:color w:val="auto"/>
              </w:rPr>
              <w:t>66</w:t>
            </w:r>
          </w:p>
        </w:tc>
        <w:tc>
          <w:tcPr>
            <w:tcW w:w="62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1.13</w:t>
            </w:r>
          </w:p>
        </w:tc>
        <w:tc>
          <w:tcPr>
            <w:tcW w:w="2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06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21,676</w:t>
            </w:r>
          </w:p>
        </w:tc>
        <w:tc>
          <w:tcPr>
            <w:tcW w:w="240" w:type="dxa"/>
            <w:vAlign w:val="bottom"/>
            <w:shd w:val="clear" w:color="auto" w:fill="C0C0C0"/>
          </w:tcPr>
          <w:p>
            <w:pPr>
              <w:spacing w:after="0"/>
              <w:rPr>
                <w:sz w:val="21"/>
                <w:szCs w:val="21"/>
                <w:color w:val="auto"/>
              </w:rPr>
            </w:pPr>
          </w:p>
        </w:tc>
        <w:tc>
          <w:tcPr>
            <w:tcW w:w="1020" w:type="dxa"/>
            <w:vAlign w:val="bottom"/>
            <w:shd w:val="clear" w:color="auto" w:fill="C0C0C0"/>
          </w:tcPr>
          <w:p>
            <w:pPr>
              <w:jc w:val="right"/>
              <w:ind w:right="212"/>
              <w:spacing w:after="0"/>
              <w:rPr>
                <w:sz w:val="20"/>
                <w:szCs w:val="20"/>
                <w:color w:val="auto"/>
              </w:rPr>
            </w:pPr>
            <w:r>
              <w:rPr>
                <w:rFonts w:ascii="Arial" w:cs="Arial" w:eastAsia="Arial" w:hAnsi="Arial"/>
                <w:sz w:val="18"/>
                <w:szCs w:val="18"/>
                <w:color w:val="auto"/>
              </w:rPr>
              <w:t>66</w:t>
            </w:r>
          </w:p>
        </w:tc>
        <w:tc>
          <w:tcPr>
            <w:tcW w:w="6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1.22</w:t>
            </w:r>
          </w:p>
        </w:tc>
      </w:tr>
      <w:tr>
        <w:trPr>
          <w:trHeight w:val="237"/>
        </w:trPr>
        <w:tc>
          <w:tcPr>
            <w:tcW w:w="490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Other time deposits</w:t>
            </w: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31,636</w:t>
            </w: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58</w:t>
            </w:r>
          </w:p>
        </w:tc>
        <w:tc>
          <w:tcPr>
            <w:tcW w:w="6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.74</w:t>
            </w:r>
          </w:p>
        </w:tc>
        <w:tc>
          <w:tcPr>
            <w:tcW w:w="2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39,379</w:t>
            </w: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72</w:t>
            </w:r>
          </w:p>
        </w:tc>
        <w:tc>
          <w:tcPr>
            <w:tcW w:w="6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.74</w:t>
            </w:r>
          </w:p>
        </w:tc>
      </w:tr>
      <w:tr>
        <w:trPr>
          <w:trHeight w:val="243"/>
        </w:trPr>
        <w:tc>
          <w:tcPr>
            <w:tcW w:w="4900" w:type="dxa"/>
            <w:vAlign w:val="bottom"/>
            <w:shd w:val="clear" w:color="auto" w:fill="C0C0C0"/>
          </w:tcPr>
          <w:p>
            <w:pPr>
              <w:spacing w:after="0"/>
              <w:rPr>
                <w:sz w:val="20"/>
                <w:szCs w:val="20"/>
                <w:color w:val="auto"/>
              </w:rPr>
            </w:pPr>
            <w:r>
              <w:rPr>
                <w:rFonts w:ascii="Arial" w:cs="Arial" w:eastAsia="Arial" w:hAnsi="Arial"/>
                <w:sz w:val="18"/>
                <w:szCs w:val="18"/>
                <w:color w:val="auto"/>
              </w:rPr>
              <w:t>Total interest-bearing deposits</w:t>
            </w:r>
          </w:p>
        </w:tc>
        <w:tc>
          <w:tcPr>
            <w:tcW w:w="160" w:type="dxa"/>
            <w:vAlign w:val="bottom"/>
            <w:shd w:val="clear" w:color="auto" w:fill="C0C0C0"/>
          </w:tcPr>
          <w:p>
            <w:pPr>
              <w:spacing w:after="0"/>
              <w:rPr>
                <w:sz w:val="21"/>
                <w:szCs w:val="21"/>
                <w:color w:val="auto"/>
              </w:rPr>
            </w:pPr>
          </w:p>
        </w:tc>
        <w:tc>
          <w:tcPr>
            <w:tcW w:w="106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380,197</w:t>
            </w:r>
          </w:p>
        </w:tc>
        <w:tc>
          <w:tcPr>
            <w:tcW w:w="260" w:type="dxa"/>
            <w:vAlign w:val="bottom"/>
            <w:shd w:val="clear" w:color="auto" w:fill="C0C0C0"/>
          </w:tcPr>
          <w:p>
            <w:pPr>
              <w:spacing w:after="0"/>
              <w:rPr>
                <w:sz w:val="21"/>
                <w:szCs w:val="21"/>
                <w:color w:val="auto"/>
              </w:rPr>
            </w:pPr>
          </w:p>
        </w:tc>
        <w:tc>
          <w:tcPr>
            <w:tcW w:w="1080" w:type="dxa"/>
            <w:vAlign w:val="bottom"/>
            <w:shd w:val="clear" w:color="auto" w:fill="C0C0C0"/>
          </w:tcPr>
          <w:p>
            <w:pPr>
              <w:jc w:val="right"/>
              <w:ind w:right="212"/>
              <w:spacing w:after="0"/>
              <w:rPr>
                <w:sz w:val="20"/>
                <w:szCs w:val="20"/>
                <w:color w:val="auto"/>
              </w:rPr>
            </w:pPr>
            <w:r>
              <w:rPr>
                <w:rFonts w:ascii="Arial" w:cs="Arial" w:eastAsia="Arial" w:hAnsi="Arial"/>
                <w:sz w:val="18"/>
                <w:szCs w:val="18"/>
                <w:color w:val="auto"/>
              </w:rPr>
              <w:t>470</w:t>
            </w:r>
          </w:p>
        </w:tc>
        <w:tc>
          <w:tcPr>
            <w:tcW w:w="62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.50</w:t>
            </w:r>
          </w:p>
        </w:tc>
        <w:tc>
          <w:tcPr>
            <w:tcW w:w="2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06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426,287</w:t>
            </w:r>
          </w:p>
        </w:tc>
        <w:tc>
          <w:tcPr>
            <w:tcW w:w="240" w:type="dxa"/>
            <w:vAlign w:val="bottom"/>
            <w:shd w:val="clear" w:color="auto" w:fill="C0C0C0"/>
          </w:tcPr>
          <w:p>
            <w:pPr>
              <w:spacing w:after="0"/>
              <w:rPr>
                <w:sz w:val="21"/>
                <w:szCs w:val="21"/>
                <w:color w:val="auto"/>
              </w:rPr>
            </w:pPr>
          </w:p>
        </w:tc>
        <w:tc>
          <w:tcPr>
            <w:tcW w:w="1020" w:type="dxa"/>
            <w:vAlign w:val="bottom"/>
            <w:shd w:val="clear" w:color="auto" w:fill="C0C0C0"/>
          </w:tcPr>
          <w:p>
            <w:pPr>
              <w:jc w:val="right"/>
              <w:ind w:right="212"/>
              <w:spacing w:after="0"/>
              <w:rPr>
                <w:sz w:val="20"/>
                <w:szCs w:val="20"/>
                <w:color w:val="auto"/>
              </w:rPr>
            </w:pPr>
            <w:r>
              <w:rPr>
                <w:rFonts w:ascii="Arial" w:cs="Arial" w:eastAsia="Arial" w:hAnsi="Arial"/>
                <w:sz w:val="18"/>
                <w:szCs w:val="18"/>
                <w:color w:val="auto"/>
              </w:rPr>
              <w:t>504</w:t>
            </w:r>
          </w:p>
        </w:tc>
        <w:tc>
          <w:tcPr>
            <w:tcW w:w="6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.48</w:t>
            </w:r>
          </w:p>
        </w:tc>
      </w:tr>
      <w:tr>
        <w:trPr>
          <w:trHeight w:val="235"/>
        </w:trPr>
        <w:tc>
          <w:tcPr>
            <w:tcW w:w="4900" w:type="dxa"/>
            <w:vAlign w:val="bottom"/>
          </w:tcPr>
          <w:p>
            <w:pPr>
              <w:spacing w:after="0"/>
              <w:rPr>
                <w:sz w:val="20"/>
                <w:szCs w:val="20"/>
                <w:color w:val="auto"/>
              </w:rPr>
            </w:pPr>
            <w:r>
              <w:rPr>
                <w:rFonts w:ascii="Arial" w:cs="Arial" w:eastAsia="Arial" w:hAnsi="Arial"/>
                <w:sz w:val="18"/>
                <w:szCs w:val="18"/>
                <w:color w:val="auto"/>
              </w:rPr>
              <w:t>Non-interest bearing liabilities</w:t>
            </w: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51"/>
        </w:trPr>
        <w:tc>
          <w:tcPr>
            <w:tcW w:w="4900" w:type="dxa"/>
            <w:vAlign w:val="bottom"/>
            <w:shd w:val="clear" w:color="auto" w:fill="C0C0C0"/>
          </w:tcPr>
          <w:p>
            <w:pPr>
              <w:ind w:left="280"/>
              <w:spacing w:after="0"/>
              <w:rPr>
                <w:sz w:val="20"/>
                <w:szCs w:val="20"/>
                <w:color w:val="auto"/>
              </w:rPr>
            </w:pPr>
            <w:r>
              <w:rPr>
                <w:rFonts w:ascii="Arial" w:cs="Arial" w:eastAsia="Arial" w:hAnsi="Arial"/>
                <w:sz w:val="18"/>
                <w:szCs w:val="18"/>
                <w:color w:val="auto"/>
              </w:rPr>
              <w:t>Demand deposits</w:t>
            </w:r>
          </w:p>
        </w:tc>
        <w:tc>
          <w:tcPr>
            <w:tcW w:w="160" w:type="dxa"/>
            <w:vAlign w:val="bottom"/>
            <w:shd w:val="clear" w:color="auto" w:fill="C0C0C0"/>
          </w:tcPr>
          <w:p>
            <w:pPr>
              <w:spacing w:after="0"/>
              <w:rPr>
                <w:sz w:val="21"/>
                <w:szCs w:val="21"/>
                <w:color w:val="auto"/>
              </w:rPr>
            </w:pPr>
          </w:p>
        </w:tc>
        <w:tc>
          <w:tcPr>
            <w:tcW w:w="106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199,508</w:t>
            </w:r>
          </w:p>
        </w:tc>
        <w:tc>
          <w:tcPr>
            <w:tcW w:w="260" w:type="dxa"/>
            <w:vAlign w:val="bottom"/>
            <w:shd w:val="clear" w:color="auto" w:fill="C0C0C0"/>
          </w:tcPr>
          <w:p>
            <w:pPr>
              <w:spacing w:after="0"/>
              <w:rPr>
                <w:sz w:val="21"/>
                <w:szCs w:val="21"/>
                <w:color w:val="auto"/>
              </w:rPr>
            </w:pPr>
          </w:p>
        </w:tc>
        <w:tc>
          <w:tcPr>
            <w:tcW w:w="1080" w:type="dxa"/>
            <w:vAlign w:val="bottom"/>
            <w:shd w:val="clear" w:color="auto" w:fill="C0C0C0"/>
          </w:tcPr>
          <w:p>
            <w:pPr>
              <w:spacing w:after="0"/>
              <w:rPr>
                <w:sz w:val="21"/>
                <w:szCs w:val="21"/>
                <w:color w:val="auto"/>
              </w:rPr>
            </w:pPr>
          </w:p>
        </w:tc>
        <w:tc>
          <w:tcPr>
            <w:tcW w:w="6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06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187,668</w:t>
            </w:r>
          </w:p>
        </w:tc>
        <w:tc>
          <w:tcPr>
            <w:tcW w:w="240" w:type="dxa"/>
            <w:vAlign w:val="bottom"/>
            <w:shd w:val="clear" w:color="auto" w:fill="C0C0C0"/>
          </w:tcPr>
          <w:p>
            <w:pPr>
              <w:spacing w:after="0"/>
              <w:rPr>
                <w:sz w:val="21"/>
                <w:szCs w:val="21"/>
                <w:color w:val="auto"/>
              </w:rPr>
            </w:pPr>
          </w:p>
        </w:tc>
        <w:tc>
          <w:tcPr>
            <w:tcW w:w="1020" w:type="dxa"/>
            <w:vAlign w:val="bottom"/>
            <w:shd w:val="clear" w:color="auto" w:fill="C0C0C0"/>
          </w:tcPr>
          <w:p>
            <w:pPr>
              <w:spacing w:after="0"/>
              <w:rPr>
                <w:sz w:val="21"/>
                <w:szCs w:val="21"/>
                <w:color w:val="auto"/>
              </w:rPr>
            </w:pPr>
          </w:p>
        </w:tc>
        <w:tc>
          <w:tcPr>
            <w:tcW w:w="600" w:type="dxa"/>
            <w:vAlign w:val="bottom"/>
            <w:shd w:val="clear" w:color="auto" w:fill="C0C0C0"/>
          </w:tcPr>
          <w:p>
            <w:pPr>
              <w:spacing w:after="0"/>
              <w:rPr>
                <w:sz w:val="21"/>
                <w:szCs w:val="21"/>
                <w:color w:val="auto"/>
              </w:rPr>
            </w:pPr>
          </w:p>
        </w:tc>
      </w:tr>
      <w:tr>
        <w:trPr>
          <w:trHeight w:val="235"/>
        </w:trPr>
        <w:tc>
          <w:tcPr>
            <w:tcW w:w="4900" w:type="dxa"/>
            <w:vAlign w:val="bottom"/>
          </w:tcPr>
          <w:p>
            <w:pPr>
              <w:ind w:left="280"/>
              <w:spacing w:after="0"/>
              <w:rPr>
                <w:sz w:val="20"/>
                <w:szCs w:val="20"/>
                <w:color w:val="auto"/>
              </w:rPr>
            </w:pPr>
            <w:r>
              <w:rPr>
                <w:rFonts w:ascii="Arial" w:cs="Arial" w:eastAsia="Arial" w:hAnsi="Arial"/>
                <w:sz w:val="18"/>
                <w:szCs w:val="18"/>
                <w:color w:val="auto"/>
              </w:rPr>
              <w:t>Accounts and drafts payable</w:t>
            </w:r>
          </w:p>
        </w:tc>
        <w:tc>
          <w:tcPr>
            <w:tcW w:w="160" w:type="dxa"/>
            <w:vAlign w:val="bottom"/>
          </w:tcPr>
          <w:p>
            <w:pPr>
              <w:spacing w:after="0"/>
              <w:rPr>
                <w:sz w:val="20"/>
                <w:szCs w:val="20"/>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703,088</w:t>
            </w: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641,013</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44"/>
        </w:trPr>
        <w:tc>
          <w:tcPr>
            <w:tcW w:w="4900" w:type="dxa"/>
            <w:vAlign w:val="bottom"/>
            <w:tcBorders>
              <w:bottom w:val="single" w:sz="8" w:color="auto"/>
            </w:tcBorders>
            <w:shd w:val="clear" w:color="auto" w:fill="C0C0C0"/>
          </w:tcPr>
          <w:p>
            <w:pPr>
              <w:ind w:left="280"/>
              <w:spacing w:after="0"/>
              <w:rPr>
                <w:sz w:val="20"/>
                <w:szCs w:val="20"/>
                <w:color w:val="auto"/>
              </w:rPr>
            </w:pPr>
            <w:r>
              <w:rPr>
                <w:rFonts w:ascii="Arial" w:cs="Arial" w:eastAsia="Arial" w:hAnsi="Arial"/>
                <w:sz w:val="18"/>
                <w:szCs w:val="18"/>
                <w:color w:val="auto"/>
              </w:rPr>
              <w:t>Other liabilities</w:t>
            </w:r>
          </w:p>
        </w:tc>
        <w:tc>
          <w:tcPr>
            <w:tcW w:w="160" w:type="dxa"/>
            <w:vAlign w:val="bottom"/>
            <w:tcBorders>
              <w:bottom w:val="single" w:sz="8" w:color="auto"/>
            </w:tcBorders>
            <w:shd w:val="clear" w:color="auto" w:fill="C0C0C0"/>
          </w:tcPr>
          <w:p>
            <w:pPr>
              <w:spacing w:after="0"/>
              <w:rPr>
                <w:sz w:val="21"/>
                <w:szCs w:val="21"/>
                <w:color w:val="auto"/>
              </w:rPr>
            </w:pPr>
          </w:p>
        </w:tc>
        <w:tc>
          <w:tcPr>
            <w:tcW w:w="106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34,466</w:t>
            </w:r>
          </w:p>
        </w:tc>
        <w:tc>
          <w:tcPr>
            <w:tcW w:w="260" w:type="dxa"/>
            <w:vAlign w:val="bottom"/>
            <w:tcBorders>
              <w:bottom w:val="single" w:sz="8" w:color="auto"/>
            </w:tcBorders>
            <w:shd w:val="clear" w:color="auto" w:fill="C0C0C0"/>
          </w:tcPr>
          <w:p>
            <w:pPr>
              <w:spacing w:after="0"/>
              <w:rPr>
                <w:sz w:val="21"/>
                <w:szCs w:val="21"/>
                <w:color w:val="auto"/>
              </w:rPr>
            </w:pPr>
          </w:p>
        </w:tc>
        <w:tc>
          <w:tcPr>
            <w:tcW w:w="1080" w:type="dxa"/>
            <w:vAlign w:val="bottom"/>
            <w:tcBorders>
              <w:bottom w:val="single" w:sz="8" w:color="auto"/>
            </w:tcBorders>
            <w:shd w:val="clear" w:color="auto" w:fill="C0C0C0"/>
          </w:tcPr>
          <w:p>
            <w:pPr>
              <w:spacing w:after="0"/>
              <w:rPr>
                <w:sz w:val="21"/>
                <w:szCs w:val="21"/>
                <w:color w:val="auto"/>
              </w:rPr>
            </w:pPr>
          </w:p>
        </w:tc>
        <w:tc>
          <w:tcPr>
            <w:tcW w:w="620" w:type="dxa"/>
            <w:vAlign w:val="bottom"/>
            <w:tcBorders>
              <w:bottom w:val="single" w:sz="8" w:color="auto"/>
            </w:tcBorders>
            <w:shd w:val="clear" w:color="auto" w:fill="C0C0C0"/>
          </w:tcPr>
          <w:p>
            <w:pPr>
              <w:spacing w:after="0"/>
              <w:rPr>
                <w:sz w:val="21"/>
                <w:szCs w:val="21"/>
                <w:color w:val="auto"/>
              </w:rPr>
            </w:pPr>
          </w:p>
        </w:tc>
        <w:tc>
          <w:tcPr>
            <w:tcW w:w="260" w:type="dxa"/>
            <w:vAlign w:val="bottom"/>
            <w:tcBorders>
              <w:bottom w:val="single" w:sz="8" w:color="auto"/>
            </w:tcBorders>
            <w:shd w:val="clear" w:color="auto" w:fill="C0C0C0"/>
          </w:tcPr>
          <w:p>
            <w:pPr>
              <w:spacing w:after="0"/>
              <w:rPr>
                <w:sz w:val="21"/>
                <w:szCs w:val="21"/>
                <w:color w:val="auto"/>
              </w:rPr>
            </w:pPr>
          </w:p>
        </w:tc>
        <w:tc>
          <w:tcPr>
            <w:tcW w:w="160" w:type="dxa"/>
            <w:vAlign w:val="bottom"/>
            <w:tcBorders>
              <w:bottom w:val="single" w:sz="8" w:color="auto"/>
            </w:tcBorders>
            <w:shd w:val="clear" w:color="auto" w:fill="C0C0C0"/>
          </w:tcPr>
          <w:p>
            <w:pPr>
              <w:spacing w:after="0"/>
              <w:rPr>
                <w:sz w:val="21"/>
                <w:szCs w:val="21"/>
                <w:color w:val="auto"/>
              </w:rPr>
            </w:pPr>
          </w:p>
        </w:tc>
        <w:tc>
          <w:tcPr>
            <w:tcW w:w="1060" w:type="dxa"/>
            <w:vAlign w:val="bottom"/>
            <w:tcBorders>
              <w:bottom w:val="single" w:sz="8" w:color="auto"/>
            </w:tcBorders>
            <w:shd w:val="clear" w:color="auto" w:fill="C0C0C0"/>
          </w:tcPr>
          <w:p>
            <w:pPr>
              <w:jc w:val="right"/>
              <w:ind w:right="112"/>
              <w:spacing w:after="0"/>
              <w:rPr>
                <w:sz w:val="20"/>
                <w:szCs w:val="20"/>
                <w:color w:val="auto"/>
              </w:rPr>
            </w:pPr>
            <w:r>
              <w:rPr>
                <w:rFonts w:ascii="Arial" w:cs="Arial" w:eastAsia="Arial" w:hAnsi="Arial"/>
                <w:sz w:val="18"/>
                <w:szCs w:val="18"/>
                <w:color w:val="auto"/>
              </w:rPr>
              <w:t>27,069</w:t>
            </w:r>
          </w:p>
        </w:tc>
        <w:tc>
          <w:tcPr>
            <w:tcW w:w="240" w:type="dxa"/>
            <w:vAlign w:val="bottom"/>
            <w:tcBorders>
              <w:bottom w:val="single" w:sz="8" w:color="auto"/>
            </w:tcBorders>
            <w:shd w:val="clear" w:color="auto" w:fill="C0C0C0"/>
          </w:tcPr>
          <w:p>
            <w:pPr>
              <w:spacing w:after="0"/>
              <w:rPr>
                <w:sz w:val="21"/>
                <w:szCs w:val="21"/>
                <w:color w:val="auto"/>
              </w:rPr>
            </w:pPr>
          </w:p>
        </w:tc>
        <w:tc>
          <w:tcPr>
            <w:tcW w:w="1020" w:type="dxa"/>
            <w:vAlign w:val="bottom"/>
            <w:tcBorders>
              <w:bottom w:val="single" w:sz="8" w:color="auto"/>
            </w:tcBorders>
            <w:shd w:val="clear" w:color="auto" w:fill="C0C0C0"/>
          </w:tcPr>
          <w:p>
            <w:pPr>
              <w:spacing w:after="0"/>
              <w:rPr>
                <w:sz w:val="21"/>
                <w:szCs w:val="21"/>
                <w:color w:val="auto"/>
              </w:rPr>
            </w:pPr>
          </w:p>
        </w:tc>
        <w:tc>
          <w:tcPr>
            <w:tcW w:w="600" w:type="dxa"/>
            <w:vAlign w:val="bottom"/>
            <w:tcBorders>
              <w:bottom w:val="single" w:sz="8" w:color="auto"/>
            </w:tcBorders>
            <w:shd w:val="clear" w:color="auto" w:fill="C0C0C0"/>
          </w:tcPr>
          <w:p>
            <w:pPr>
              <w:spacing w:after="0"/>
              <w:rPr>
                <w:sz w:val="21"/>
                <w:szCs w:val="21"/>
                <w:color w:val="auto"/>
              </w:rPr>
            </w:pPr>
          </w:p>
        </w:tc>
      </w:tr>
      <w:tr>
        <w:trPr>
          <w:trHeight w:val="235"/>
        </w:trPr>
        <w:tc>
          <w:tcPr>
            <w:tcW w:w="4900" w:type="dxa"/>
            <w:vAlign w:val="bottom"/>
          </w:tcPr>
          <w:p>
            <w:pPr>
              <w:spacing w:after="0"/>
              <w:rPr>
                <w:sz w:val="20"/>
                <w:szCs w:val="20"/>
                <w:color w:val="auto"/>
              </w:rPr>
            </w:pPr>
            <w:r>
              <w:rPr>
                <w:rFonts w:ascii="Arial" w:cs="Arial" w:eastAsia="Arial" w:hAnsi="Arial"/>
                <w:sz w:val="18"/>
                <w:szCs w:val="18"/>
                <w:color w:val="auto"/>
              </w:rPr>
              <w:t>Total liabilities</w:t>
            </w:r>
          </w:p>
        </w:tc>
        <w:tc>
          <w:tcPr>
            <w:tcW w:w="160" w:type="dxa"/>
            <w:vAlign w:val="bottom"/>
          </w:tcPr>
          <w:p>
            <w:pPr>
              <w:spacing w:after="0"/>
              <w:rPr>
                <w:sz w:val="20"/>
                <w:szCs w:val="20"/>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1,317,259</w:t>
            </w: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1,282,037</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44"/>
        </w:trPr>
        <w:tc>
          <w:tcPr>
            <w:tcW w:w="490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Shareholders’ equity</w:t>
            </w:r>
          </w:p>
        </w:tc>
        <w:tc>
          <w:tcPr>
            <w:tcW w:w="160" w:type="dxa"/>
            <w:vAlign w:val="bottom"/>
            <w:tcBorders>
              <w:bottom w:val="single" w:sz="8" w:color="auto"/>
            </w:tcBorders>
            <w:shd w:val="clear" w:color="auto" w:fill="C0C0C0"/>
          </w:tcPr>
          <w:p>
            <w:pPr>
              <w:spacing w:after="0"/>
              <w:rPr>
                <w:sz w:val="21"/>
                <w:szCs w:val="21"/>
                <w:color w:val="auto"/>
              </w:rPr>
            </w:pPr>
          </w:p>
        </w:tc>
        <w:tc>
          <w:tcPr>
            <w:tcW w:w="106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215,383</w:t>
            </w:r>
          </w:p>
        </w:tc>
        <w:tc>
          <w:tcPr>
            <w:tcW w:w="260" w:type="dxa"/>
            <w:vAlign w:val="bottom"/>
            <w:tcBorders>
              <w:bottom w:val="single" w:sz="8" w:color="auto"/>
            </w:tcBorders>
            <w:shd w:val="clear" w:color="auto" w:fill="C0C0C0"/>
          </w:tcPr>
          <w:p>
            <w:pPr>
              <w:spacing w:after="0"/>
              <w:rPr>
                <w:sz w:val="21"/>
                <w:szCs w:val="21"/>
                <w:color w:val="auto"/>
              </w:rPr>
            </w:pPr>
          </w:p>
        </w:tc>
        <w:tc>
          <w:tcPr>
            <w:tcW w:w="1080" w:type="dxa"/>
            <w:vAlign w:val="bottom"/>
            <w:tcBorders>
              <w:bottom w:val="single" w:sz="8" w:color="auto"/>
            </w:tcBorders>
            <w:shd w:val="clear" w:color="auto" w:fill="C0C0C0"/>
          </w:tcPr>
          <w:p>
            <w:pPr>
              <w:spacing w:after="0"/>
              <w:rPr>
                <w:sz w:val="21"/>
                <w:szCs w:val="21"/>
                <w:color w:val="auto"/>
              </w:rPr>
            </w:pPr>
          </w:p>
        </w:tc>
        <w:tc>
          <w:tcPr>
            <w:tcW w:w="620" w:type="dxa"/>
            <w:vAlign w:val="bottom"/>
            <w:tcBorders>
              <w:bottom w:val="single" w:sz="8" w:color="auto"/>
            </w:tcBorders>
            <w:shd w:val="clear" w:color="auto" w:fill="C0C0C0"/>
          </w:tcPr>
          <w:p>
            <w:pPr>
              <w:spacing w:after="0"/>
              <w:rPr>
                <w:sz w:val="21"/>
                <w:szCs w:val="21"/>
                <w:color w:val="auto"/>
              </w:rPr>
            </w:pPr>
          </w:p>
        </w:tc>
        <w:tc>
          <w:tcPr>
            <w:tcW w:w="260" w:type="dxa"/>
            <w:vAlign w:val="bottom"/>
            <w:tcBorders>
              <w:bottom w:val="single" w:sz="8" w:color="auto"/>
            </w:tcBorders>
            <w:shd w:val="clear" w:color="auto" w:fill="C0C0C0"/>
          </w:tcPr>
          <w:p>
            <w:pPr>
              <w:spacing w:after="0"/>
              <w:rPr>
                <w:sz w:val="21"/>
                <w:szCs w:val="21"/>
                <w:color w:val="auto"/>
              </w:rPr>
            </w:pPr>
          </w:p>
        </w:tc>
        <w:tc>
          <w:tcPr>
            <w:tcW w:w="160" w:type="dxa"/>
            <w:vAlign w:val="bottom"/>
            <w:tcBorders>
              <w:bottom w:val="single" w:sz="8" w:color="auto"/>
            </w:tcBorders>
            <w:shd w:val="clear" w:color="auto" w:fill="C0C0C0"/>
          </w:tcPr>
          <w:p>
            <w:pPr>
              <w:spacing w:after="0"/>
              <w:rPr>
                <w:sz w:val="21"/>
                <w:szCs w:val="21"/>
                <w:color w:val="auto"/>
              </w:rPr>
            </w:pPr>
          </w:p>
        </w:tc>
        <w:tc>
          <w:tcPr>
            <w:tcW w:w="1060" w:type="dxa"/>
            <w:vAlign w:val="bottom"/>
            <w:tcBorders>
              <w:bottom w:val="single" w:sz="8" w:color="auto"/>
            </w:tcBorders>
            <w:shd w:val="clear" w:color="auto" w:fill="C0C0C0"/>
          </w:tcPr>
          <w:p>
            <w:pPr>
              <w:jc w:val="right"/>
              <w:ind w:right="112"/>
              <w:spacing w:after="0"/>
              <w:rPr>
                <w:sz w:val="20"/>
                <w:szCs w:val="20"/>
                <w:color w:val="auto"/>
              </w:rPr>
            </w:pPr>
            <w:r>
              <w:rPr>
                <w:rFonts w:ascii="Arial" w:cs="Arial" w:eastAsia="Arial" w:hAnsi="Arial"/>
                <w:sz w:val="18"/>
                <w:szCs w:val="18"/>
                <w:color w:val="auto"/>
              </w:rPr>
              <w:t>206,292</w:t>
            </w:r>
          </w:p>
        </w:tc>
        <w:tc>
          <w:tcPr>
            <w:tcW w:w="240" w:type="dxa"/>
            <w:vAlign w:val="bottom"/>
            <w:tcBorders>
              <w:bottom w:val="single" w:sz="8" w:color="auto"/>
            </w:tcBorders>
            <w:shd w:val="clear" w:color="auto" w:fill="C0C0C0"/>
          </w:tcPr>
          <w:p>
            <w:pPr>
              <w:spacing w:after="0"/>
              <w:rPr>
                <w:sz w:val="21"/>
                <w:szCs w:val="21"/>
                <w:color w:val="auto"/>
              </w:rPr>
            </w:pPr>
          </w:p>
        </w:tc>
        <w:tc>
          <w:tcPr>
            <w:tcW w:w="1020" w:type="dxa"/>
            <w:vAlign w:val="bottom"/>
            <w:tcBorders>
              <w:bottom w:val="single" w:sz="8" w:color="auto"/>
            </w:tcBorders>
            <w:shd w:val="clear" w:color="auto" w:fill="C0C0C0"/>
          </w:tcPr>
          <w:p>
            <w:pPr>
              <w:spacing w:after="0"/>
              <w:rPr>
                <w:sz w:val="21"/>
                <w:szCs w:val="21"/>
                <w:color w:val="auto"/>
              </w:rPr>
            </w:pPr>
          </w:p>
        </w:tc>
        <w:tc>
          <w:tcPr>
            <w:tcW w:w="600" w:type="dxa"/>
            <w:vAlign w:val="bottom"/>
            <w:tcBorders>
              <w:bottom w:val="single" w:sz="8" w:color="auto"/>
            </w:tcBorders>
            <w:shd w:val="clear" w:color="auto" w:fill="C0C0C0"/>
          </w:tcPr>
          <w:p>
            <w:pPr>
              <w:spacing w:after="0"/>
              <w:rPr>
                <w:sz w:val="21"/>
                <w:szCs w:val="21"/>
                <w:color w:val="auto"/>
              </w:rPr>
            </w:pPr>
          </w:p>
        </w:tc>
      </w:tr>
      <w:tr>
        <w:trPr>
          <w:trHeight w:val="237"/>
        </w:trPr>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liabilities and shareholders’ equity</w:t>
            </w: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1,532,642</w:t>
            </w: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1,488,329</w:t>
            </w: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r>
      <w:tr>
        <w:trPr>
          <w:trHeight w:val="243"/>
        </w:trPr>
        <w:tc>
          <w:tcPr>
            <w:tcW w:w="4900" w:type="dxa"/>
            <w:vAlign w:val="bottom"/>
            <w:shd w:val="clear" w:color="auto" w:fill="C0C0C0"/>
          </w:tcPr>
          <w:p>
            <w:pPr>
              <w:spacing w:after="0"/>
              <w:rPr>
                <w:sz w:val="20"/>
                <w:szCs w:val="20"/>
                <w:color w:val="auto"/>
              </w:rPr>
            </w:pPr>
            <w:r>
              <w:rPr>
                <w:rFonts w:ascii="Arial" w:cs="Arial" w:eastAsia="Arial" w:hAnsi="Arial"/>
                <w:sz w:val="18"/>
                <w:szCs w:val="18"/>
                <w:color w:val="auto"/>
              </w:rPr>
              <w:t>Net interest income</w:t>
            </w:r>
          </w:p>
        </w:tc>
        <w:tc>
          <w:tcPr>
            <w:tcW w:w="160" w:type="dxa"/>
            <w:vAlign w:val="bottom"/>
            <w:shd w:val="clear" w:color="auto" w:fill="C0C0C0"/>
          </w:tcPr>
          <w:p>
            <w:pPr>
              <w:spacing w:after="0"/>
              <w:rPr>
                <w:sz w:val="21"/>
                <w:szCs w:val="21"/>
                <w:color w:val="auto"/>
              </w:rPr>
            </w:pPr>
          </w:p>
        </w:tc>
        <w:tc>
          <w:tcPr>
            <w:tcW w:w="1060" w:type="dxa"/>
            <w:vAlign w:val="bottom"/>
            <w:shd w:val="clear" w:color="auto" w:fill="C0C0C0"/>
          </w:tcPr>
          <w:p>
            <w:pPr>
              <w:spacing w:after="0"/>
              <w:rPr>
                <w:sz w:val="21"/>
                <w:szCs w:val="21"/>
                <w:color w:val="auto"/>
              </w:rPr>
            </w:pPr>
          </w:p>
        </w:tc>
        <w:tc>
          <w:tcPr>
            <w:tcW w:w="2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0C0C0"/>
          </w:tcPr>
          <w:p>
            <w:pPr>
              <w:jc w:val="right"/>
              <w:ind w:right="212"/>
              <w:spacing w:after="0"/>
              <w:rPr>
                <w:sz w:val="20"/>
                <w:szCs w:val="20"/>
                <w:color w:val="auto"/>
              </w:rPr>
            </w:pPr>
            <w:r>
              <w:rPr>
                <w:rFonts w:ascii="Arial" w:cs="Arial" w:eastAsia="Arial" w:hAnsi="Arial"/>
                <w:sz w:val="18"/>
                <w:szCs w:val="18"/>
                <w:color w:val="auto"/>
              </w:rPr>
              <w:t>11,312</w:t>
            </w:r>
          </w:p>
        </w:tc>
        <w:tc>
          <w:tcPr>
            <w:tcW w:w="6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1060" w:type="dxa"/>
            <w:vAlign w:val="bottom"/>
            <w:shd w:val="clear" w:color="auto" w:fill="C0C0C0"/>
          </w:tcPr>
          <w:p>
            <w:pPr>
              <w:spacing w:after="0"/>
              <w:rPr>
                <w:sz w:val="21"/>
                <w:szCs w:val="21"/>
                <w:color w:val="auto"/>
              </w:rPr>
            </w:pPr>
          </w:p>
        </w:tc>
        <w:tc>
          <w:tcPr>
            <w:tcW w:w="2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0C0C0"/>
          </w:tcPr>
          <w:p>
            <w:pPr>
              <w:jc w:val="right"/>
              <w:ind w:right="212"/>
              <w:spacing w:after="0"/>
              <w:rPr>
                <w:sz w:val="20"/>
                <w:szCs w:val="20"/>
                <w:color w:val="auto"/>
              </w:rPr>
            </w:pPr>
            <w:r>
              <w:rPr>
                <w:rFonts w:ascii="Arial" w:cs="Arial" w:eastAsia="Arial" w:hAnsi="Arial"/>
                <w:sz w:val="18"/>
                <w:szCs w:val="18"/>
                <w:color w:val="auto"/>
              </w:rPr>
              <w:t>10,896</w:t>
            </w:r>
          </w:p>
        </w:tc>
        <w:tc>
          <w:tcPr>
            <w:tcW w:w="600" w:type="dxa"/>
            <w:vAlign w:val="bottom"/>
            <w:shd w:val="clear" w:color="auto" w:fill="C0C0C0"/>
          </w:tcPr>
          <w:p>
            <w:pPr>
              <w:spacing w:after="0"/>
              <w:rPr>
                <w:sz w:val="21"/>
                <w:szCs w:val="21"/>
                <w:color w:val="auto"/>
              </w:rPr>
            </w:pPr>
          </w:p>
        </w:tc>
      </w:tr>
      <w:tr>
        <w:trPr>
          <w:trHeight w:val="235"/>
        </w:trPr>
        <w:tc>
          <w:tcPr>
            <w:tcW w:w="4900" w:type="dxa"/>
            <w:vAlign w:val="bottom"/>
          </w:tcPr>
          <w:p>
            <w:pPr>
              <w:spacing w:after="0"/>
              <w:rPr>
                <w:sz w:val="20"/>
                <w:szCs w:val="20"/>
                <w:color w:val="auto"/>
              </w:rPr>
            </w:pPr>
            <w:r>
              <w:rPr>
                <w:rFonts w:ascii="Arial" w:cs="Arial" w:eastAsia="Arial" w:hAnsi="Arial"/>
                <w:sz w:val="18"/>
                <w:szCs w:val="18"/>
                <w:color w:val="auto"/>
              </w:rPr>
              <w:t>Net interest margin</w:t>
            </w: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3.40%</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3.40%</w:t>
            </w:r>
          </w:p>
        </w:tc>
      </w:tr>
      <w:tr>
        <w:trPr>
          <w:trHeight w:val="244"/>
        </w:trPr>
        <w:tc>
          <w:tcPr>
            <w:tcW w:w="490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Interest spread</w:t>
            </w:r>
          </w:p>
        </w:tc>
        <w:tc>
          <w:tcPr>
            <w:tcW w:w="160" w:type="dxa"/>
            <w:vAlign w:val="bottom"/>
            <w:tcBorders>
              <w:bottom w:val="single" w:sz="8" w:color="auto"/>
            </w:tcBorders>
            <w:shd w:val="clear" w:color="auto" w:fill="C0C0C0"/>
          </w:tcPr>
          <w:p>
            <w:pPr>
              <w:spacing w:after="0"/>
              <w:rPr>
                <w:sz w:val="21"/>
                <w:szCs w:val="21"/>
                <w:color w:val="auto"/>
              </w:rPr>
            </w:pPr>
          </w:p>
        </w:tc>
        <w:tc>
          <w:tcPr>
            <w:tcW w:w="1060" w:type="dxa"/>
            <w:vAlign w:val="bottom"/>
            <w:tcBorders>
              <w:bottom w:val="single" w:sz="8" w:color="auto"/>
            </w:tcBorders>
            <w:shd w:val="clear" w:color="auto" w:fill="C0C0C0"/>
          </w:tcPr>
          <w:p>
            <w:pPr>
              <w:spacing w:after="0"/>
              <w:rPr>
                <w:sz w:val="21"/>
                <w:szCs w:val="21"/>
                <w:color w:val="auto"/>
              </w:rPr>
            </w:pPr>
          </w:p>
        </w:tc>
        <w:tc>
          <w:tcPr>
            <w:tcW w:w="260" w:type="dxa"/>
            <w:vAlign w:val="bottom"/>
            <w:tcBorders>
              <w:bottom w:val="single" w:sz="8" w:color="auto"/>
            </w:tcBorders>
            <w:shd w:val="clear" w:color="auto" w:fill="C0C0C0"/>
          </w:tcPr>
          <w:p>
            <w:pPr>
              <w:spacing w:after="0"/>
              <w:rPr>
                <w:sz w:val="21"/>
                <w:szCs w:val="21"/>
                <w:color w:val="auto"/>
              </w:rPr>
            </w:pPr>
          </w:p>
        </w:tc>
        <w:tc>
          <w:tcPr>
            <w:tcW w:w="1080" w:type="dxa"/>
            <w:vAlign w:val="bottom"/>
            <w:tcBorders>
              <w:bottom w:val="single" w:sz="8" w:color="auto"/>
            </w:tcBorders>
            <w:shd w:val="clear" w:color="auto" w:fill="C0C0C0"/>
          </w:tcPr>
          <w:p>
            <w:pPr>
              <w:spacing w:after="0"/>
              <w:rPr>
                <w:sz w:val="21"/>
                <w:szCs w:val="21"/>
                <w:color w:val="auto"/>
              </w:rPr>
            </w:pPr>
          </w:p>
        </w:tc>
        <w:tc>
          <w:tcPr>
            <w:tcW w:w="620" w:type="dxa"/>
            <w:vAlign w:val="bottom"/>
            <w:tcBorders>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rPr>
              <w:t>3.05</w:t>
            </w:r>
          </w:p>
        </w:tc>
        <w:tc>
          <w:tcPr>
            <w:tcW w:w="260" w:type="dxa"/>
            <w:vAlign w:val="bottom"/>
            <w:tcBorders>
              <w:bottom w:val="single" w:sz="8" w:color="auto"/>
            </w:tcBorders>
            <w:shd w:val="clear" w:color="auto" w:fill="C0C0C0"/>
          </w:tcPr>
          <w:p>
            <w:pPr>
              <w:spacing w:after="0"/>
              <w:rPr>
                <w:sz w:val="21"/>
                <w:szCs w:val="21"/>
                <w:color w:val="auto"/>
              </w:rPr>
            </w:pPr>
          </w:p>
        </w:tc>
        <w:tc>
          <w:tcPr>
            <w:tcW w:w="160" w:type="dxa"/>
            <w:vAlign w:val="bottom"/>
            <w:tcBorders>
              <w:bottom w:val="single" w:sz="8" w:color="auto"/>
            </w:tcBorders>
            <w:shd w:val="clear" w:color="auto" w:fill="C0C0C0"/>
          </w:tcPr>
          <w:p>
            <w:pPr>
              <w:spacing w:after="0"/>
              <w:rPr>
                <w:sz w:val="21"/>
                <w:szCs w:val="21"/>
                <w:color w:val="auto"/>
              </w:rPr>
            </w:pPr>
          </w:p>
        </w:tc>
        <w:tc>
          <w:tcPr>
            <w:tcW w:w="1060" w:type="dxa"/>
            <w:vAlign w:val="bottom"/>
            <w:tcBorders>
              <w:bottom w:val="single" w:sz="8" w:color="auto"/>
            </w:tcBorders>
            <w:shd w:val="clear" w:color="auto" w:fill="C0C0C0"/>
          </w:tcPr>
          <w:p>
            <w:pPr>
              <w:spacing w:after="0"/>
              <w:rPr>
                <w:sz w:val="21"/>
                <w:szCs w:val="21"/>
                <w:color w:val="auto"/>
              </w:rPr>
            </w:pPr>
          </w:p>
        </w:tc>
        <w:tc>
          <w:tcPr>
            <w:tcW w:w="240" w:type="dxa"/>
            <w:vAlign w:val="bottom"/>
            <w:tcBorders>
              <w:bottom w:val="single" w:sz="8" w:color="auto"/>
            </w:tcBorders>
            <w:shd w:val="clear" w:color="auto" w:fill="C0C0C0"/>
          </w:tcPr>
          <w:p>
            <w:pPr>
              <w:spacing w:after="0"/>
              <w:rPr>
                <w:sz w:val="21"/>
                <w:szCs w:val="21"/>
                <w:color w:val="auto"/>
              </w:rPr>
            </w:pPr>
          </w:p>
        </w:tc>
        <w:tc>
          <w:tcPr>
            <w:tcW w:w="1020" w:type="dxa"/>
            <w:vAlign w:val="bottom"/>
            <w:tcBorders>
              <w:bottom w:val="single" w:sz="8" w:color="auto"/>
            </w:tcBorders>
            <w:shd w:val="clear" w:color="auto" w:fill="C0C0C0"/>
          </w:tcPr>
          <w:p>
            <w:pPr>
              <w:spacing w:after="0"/>
              <w:rPr>
                <w:sz w:val="21"/>
                <w:szCs w:val="21"/>
                <w:color w:val="auto"/>
              </w:rPr>
            </w:pPr>
          </w:p>
        </w:tc>
        <w:tc>
          <w:tcPr>
            <w:tcW w:w="60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3.08</w:t>
            </w:r>
          </w:p>
        </w:tc>
      </w:tr>
    </w:tbl>
    <w:p>
      <w:pPr>
        <w:ind w:left="280" w:hanging="272"/>
        <w:spacing w:after="0" w:line="223" w:lineRule="auto"/>
        <w:tabs>
          <w:tab w:leader="none" w:pos="280" w:val="left"/>
        </w:tabs>
        <w:numPr>
          <w:ilvl w:val="0"/>
          <w:numId w:val="5"/>
        </w:numPr>
        <w:rPr>
          <w:rFonts w:ascii="Arial" w:cs="Arial" w:eastAsia="Arial" w:hAnsi="Arial"/>
          <w:sz w:val="14"/>
          <w:szCs w:val="14"/>
          <w:color w:val="auto"/>
        </w:rPr>
      </w:pPr>
      <w:r>
        <w:rPr>
          <w:rFonts w:ascii="Arial" w:cs="Arial" w:eastAsia="Arial" w:hAnsi="Arial"/>
          <w:sz w:val="14"/>
          <w:szCs w:val="14"/>
          <w:color w:val="auto"/>
        </w:rPr>
        <w:t>Balances shown are daily averages.</w:t>
      </w:r>
    </w:p>
    <w:p>
      <w:pPr>
        <w:ind w:left="280" w:hanging="272"/>
        <w:spacing w:after="0" w:line="221" w:lineRule="auto"/>
        <w:tabs>
          <w:tab w:leader="none" w:pos="280" w:val="left"/>
        </w:tabs>
        <w:numPr>
          <w:ilvl w:val="0"/>
          <w:numId w:val="5"/>
        </w:numPr>
        <w:rPr>
          <w:rFonts w:ascii="Arial" w:cs="Arial" w:eastAsia="Arial" w:hAnsi="Arial"/>
          <w:sz w:val="14"/>
          <w:szCs w:val="14"/>
          <w:color w:val="auto"/>
        </w:rPr>
      </w:pPr>
      <w:r>
        <w:rPr>
          <w:rFonts w:ascii="Arial" w:cs="Arial" w:eastAsia="Arial" w:hAnsi="Arial"/>
          <w:sz w:val="14"/>
          <w:szCs w:val="14"/>
          <w:color w:val="auto"/>
        </w:rPr>
        <w:t>For purposes of these computations, nonaccrual loans are included in the average loan amounts outstanding. Interest on nonaccrual loans is recorded when received as discussed further in Note 1 to the Company’s 2016 consolidated financial statements, filed with the Company’s 2016 Annual Report on Form 10-K.</w:t>
      </w:r>
    </w:p>
    <w:p>
      <w:pPr>
        <w:ind w:left="280" w:hanging="272"/>
        <w:spacing w:after="0" w:line="221" w:lineRule="auto"/>
        <w:tabs>
          <w:tab w:leader="none" w:pos="28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Interest income on loans includes net loan fees of $91,000 and $93,000 for the Second Quarter of 2017 and 2016, respectively.</w:t>
      </w:r>
    </w:p>
    <w:p>
      <w:pPr>
        <w:ind w:left="280" w:hanging="272"/>
        <w:spacing w:after="0" w:line="221" w:lineRule="auto"/>
        <w:tabs>
          <w:tab w:leader="none" w:pos="28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Interest income is presented on a tax-equivalent basis assuming a tax rate of 35%. The tax-equivalent adjustment was approximately $1,450,000 and $1,390,000 for the Second Quarter of 2017 and 2016, respectively.</w:t>
      </w:r>
    </w:p>
    <w:p>
      <w:pPr>
        <w:ind w:left="280" w:hanging="272"/>
        <w:spacing w:after="0"/>
        <w:tabs>
          <w:tab w:leader="none" w:pos="280" w:val="left"/>
        </w:tabs>
        <w:numPr>
          <w:ilvl w:val="0"/>
          <w:numId w:val="5"/>
        </w:numPr>
        <w:rPr>
          <w:rFonts w:ascii="Arial" w:cs="Arial" w:eastAsia="Arial" w:hAnsi="Arial"/>
          <w:sz w:val="14"/>
          <w:szCs w:val="14"/>
          <w:color w:val="auto"/>
        </w:rPr>
      </w:pPr>
      <w:r>
        <w:rPr>
          <w:rFonts w:ascii="Arial" w:cs="Arial" w:eastAsia="Arial" w:hAnsi="Arial"/>
          <w:sz w:val="14"/>
          <w:szCs w:val="14"/>
          <w:color w:val="auto"/>
        </w:rPr>
        <w:t>For purposes of these computations, yields on investment securities are computed as interest income divided by the average amortized cost of the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9"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7"/>
        </w:trPr>
        <w:tc>
          <w:tcPr>
            <w:tcW w:w="48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right"/>
              <w:ind w:right="92"/>
              <w:spacing w:after="0"/>
              <w:rPr>
                <w:sz w:val="20"/>
                <w:szCs w:val="20"/>
                <w:color w:val="auto"/>
              </w:rPr>
            </w:pPr>
            <w:r>
              <w:rPr>
                <w:rFonts w:ascii="Arial" w:cs="Arial" w:eastAsia="Arial" w:hAnsi="Arial"/>
                <w:sz w:val="18"/>
                <w:szCs w:val="18"/>
                <w:b w:val="1"/>
                <w:bCs w:val="1"/>
                <w:color w:val="auto"/>
              </w:rPr>
              <w:t>First Half of 2017</w:t>
            </w:r>
          </w:p>
        </w:tc>
        <w:tc>
          <w:tcPr>
            <w:tcW w:w="7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8"/>
                <w:szCs w:val="18"/>
                <w:b w:val="1"/>
                <w:bCs w:val="1"/>
                <w:color w:val="auto"/>
              </w:rPr>
              <w:t>First Half of 2016</w:t>
            </w:r>
          </w:p>
        </w:tc>
        <w:tc>
          <w:tcPr>
            <w:tcW w:w="760" w:type="dxa"/>
            <w:vAlign w:val="bottom"/>
            <w:tcBorders>
              <w:bottom w:val="single" w:sz="8" w:color="auto"/>
            </w:tcBorders>
          </w:tcPr>
          <w:p>
            <w:pPr>
              <w:spacing w:after="0"/>
              <w:rPr>
                <w:sz w:val="20"/>
                <w:szCs w:val="20"/>
                <w:color w:val="auto"/>
              </w:rPr>
            </w:pPr>
          </w:p>
        </w:tc>
      </w:tr>
      <w:tr>
        <w:trPr>
          <w:trHeight w:val="228"/>
        </w:trPr>
        <w:tc>
          <w:tcPr>
            <w:tcW w:w="4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Arial" w:cs="Arial" w:eastAsia="Arial" w:hAnsi="Arial"/>
                <w:sz w:val="18"/>
                <w:szCs w:val="18"/>
                <w:b w:val="1"/>
                <w:bCs w:val="1"/>
                <w:color w:val="auto"/>
              </w:rPr>
              <w:t>Interest</w:t>
            </w: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ind w:left="20"/>
              <w:spacing w:after="0"/>
              <w:rPr>
                <w:sz w:val="20"/>
                <w:szCs w:val="20"/>
                <w:color w:val="auto"/>
              </w:rPr>
            </w:pPr>
            <w:r>
              <w:rPr>
                <w:rFonts w:ascii="Arial" w:cs="Arial" w:eastAsia="Arial" w:hAnsi="Arial"/>
                <w:sz w:val="18"/>
                <w:szCs w:val="18"/>
                <w:b w:val="1"/>
                <w:bCs w:val="1"/>
                <w:color w:val="auto"/>
              </w:rPr>
              <w:t>Interest</w:t>
            </w:r>
          </w:p>
        </w:tc>
        <w:tc>
          <w:tcPr>
            <w:tcW w:w="760" w:type="dxa"/>
            <w:vAlign w:val="bottom"/>
          </w:tcPr>
          <w:p>
            <w:pPr>
              <w:spacing w:after="0"/>
              <w:rPr>
                <w:sz w:val="19"/>
                <w:szCs w:val="19"/>
                <w:color w:val="auto"/>
              </w:rPr>
            </w:pPr>
          </w:p>
        </w:tc>
      </w:tr>
      <w:tr>
        <w:trPr>
          <w:trHeight w:val="242"/>
        </w:trPr>
        <w:tc>
          <w:tcPr>
            <w:tcW w:w="4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272"/>
              <w:spacing w:after="0"/>
              <w:rPr>
                <w:sz w:val="20"/>
                <w:szCs w:val="20"/>
                <w:color w:val="auto"/>
              </w:rPr>
            </w:pPr>
            <w:r>
              <w:rPr>
                <w:rFonts w:ascii="Arial" w:cs="Arial" w:eastAsia="Arial" w:hAnsi="Arial"/>
                <w:sz w:val="18"/>
                <w:szCs w:val="18"/>
                <w:b w:val="1"/>
                <w:bCs w:val="1"/>
                <w:color w:val="auto"/>
                <w:w w:val="92"/>
              </w:rPr>
              <w:t>Average</w:t>
            </w:r>
          </w:p>
        </w:tc>
        <w:tc>
          <w:tcPr>
            <w:tcW w:w="240" w:type="dxa"/>
            <w:vAlign w:val="bottom"/>
          </w:tcPr>
          <w:p>
            <w:pPr>
              <w:spacing w:after="0"/>
              <w:rPr>
                <w:sz w:val="21"/>
                <w:szCs w:val="21"/>
                <w:color w:val="auto"/>
              </w:rPr>
            </w:pPr>
          </w:p>
        </w:tc>
        <w:tc>
          <w:tcPr>
            <w:tcW w:w="960" w:type="dxa"/>
            <w:vAlign w:val="bottom"/>
          </w:tcPr>
          <w:p>
            <w:pPr>
              <w:ind w:left="20"/>
              <w:spacing w:after="0"/>
              <w:rPr>
                <w:sz w:val="20"/>
                <w:szCs w:val="20"/>
                <w:color w:val="auto"/>
              </w:rPr>
            </w:pPr>
            <w:r>
              <w:rPr>
                <w:rFonts w:ascii="Arial" w:cs="Arial" w:eastAsia="Arial" w:hAnsi="Arial"/>
                <w:sz w:val="18"/>
                <w:szCs w:val="18"/>
                <w:b w:val="1"/>
                <w:bCs w:val="1"/>
                <w:color w:val="auto"/>
              </w:rPr>
              <w:t>Income/</w:t>
            </w:r>
          </w:p>
        </w:tc>
        <w:tc>
          <w:tcPr>
            <w:tcW w:w="760" w:type="dxa"/>
            <w:vAlign w:val="bottom"/>
          </w:tcPr>
          <w:p>
            <w:pPr>
              <w:jc w:val="right"/>
              <w:ind w:right="52"/>
              <w:spacing w:after="0"/>
              <w:rPr>
                <w:sz w:val="20"/>
                <w:szCs w:val="20"/>
                <w:color w:val="auto"/>
              </w:rPr>
            </w:pPr>
            <w:r>
              <w:rPr>
                <w:rFonts w:ascii="Arial" w:cs="Arial" w:eastAsia="Arial" w:hAnsi="Arial"/>
                <w:sz w:val="18"/>
                <w:szCs w:val="18"/>
                <w:b w:val="1"/>
                <w:bCs w:val="1"/>
                <w:color w:val="auto"/>
              </w:rPr>
              <w:t>Yield/</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92"/>
              <w:spacing w:after="0"/>
              <w:rPr>
                <w:sz w:val="20"/>
                <w:szCs w:val="20"/>
                <w:color w:val="auto"/>
              </w:rPr>
            </w:pPr>
            <w:r>
              <w:rPr>
                <w:rFonts w:ascii="Arial" w:cs="Arial" w:eastAsia="Arial" w:hAnsi="Arial"/>
                <w:sz w:val="18"/>
                <w:szCs w:val="18"/>
                <w:b w:val="1"/>
                <w:bCs w:val="1"/>
                <w:color w:val="auto"/>
                <w:w w:val="92"/>
              </w:rPr>
              <w:t>Average</w:t>
            </w:r>
          </w:p>
        </w:tc>
        <w:tc>
          <w:tcPr>
            <w:tcW w:w="240" w:type="dxa"/>
            <w:vAlign w:val="bottom"/>
          </w:tcPr>
          <w:p>
            <w:pPr>
              <w:spacing w:after="0"/>
              <w:rPr>
                <w:sz w:val="21"/>
                <w:szCs w:val="21"/>
                <w:color w:val="auto"/>
              </w:rPr>
            </w:pPr>
          </w:p>
        </w:tc>
        <w:tc>
          <w:tcPr>
            <w:tcW w:w="940" w:type="dxa"/>
            <w:vAlign w:val="bottom"/>
          </w:tcPr>
          <w:p>
            <w:pPr>
              <w:spacing w:after="0"/>
              <w:rPr>
                <w:sz w:val="20"/>
                <w:szCs w:val="20"/>
                <w:color w:val="auto"/>
              </w:rPr>
            </w:pPr>
            <w:r>
              <w:rPr>
                <w:rFonts w:ascii="Arial" w:cs="Arial" w:eastAsia="Arial" w:hAnsi="Arial"/>
                <w:sz w:val="18"/>
                <w:szCs w:val="18"/>
                <w:b w:val="1"/>
                <w:bCs w:val="1"/>
                <w:color w:val="auto"/>
              </w:rPr>
              <w:t>Income/</w:t>
            </w:r>
          </w:p>
        </w:tc>
        <w:tc>
          <w:tcPr>
            <w:tcW w:w="760" w:type="dxa"/>
            <w:vAlign w:val="bottom"/>
          </w:tcPr>
          <w:p>
            <w:pPr>
              <w:jc w:val="right"/>
              <w:ind w:right="52"/>
              <w:spacing w:after="0"/>
              <w:rPr>
                <w:sz w:val="20"/>
                <w:szCs w:val="20"/>
                <w:color w:val="auto"/>
              </w:rPr>
            </w:pPr>
            <w:r>
              <w:rPr>
                <w:rFonts w:ascii="Arial" w:cs="Arial" w:eastAsia="Arial" w:hAnsi="Arial"/>
                <w:sz w:val="18"/>
                <w:szCs w:val="18"/>
                <w:b w:val="1"/>
                <w:bCs w:val="1"/>
                <w:color w:val="auto"/>
              </w:rPr>
              <w:t>Yield/</w:t>
            </w:r>
          </w:p>
        </w:tc>
      </w:tr>
      <w:tr>
        <w:trPr>
          <w:trHeight w:val="252"/>
        </w:trPr>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w w:val="95"/>
              </w:rPr>
              <w:t>Balance</w:t>
            </w: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Expense</w:t>
            </w:r>
          </w:p>
        </w:tc>
        <w:tc>
          <w:tcPr>
            <w:tcW w:w="7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Rate</w:t>
            </w:r>
          </w:p>
        </w:tc>
        <w:tc>
          <w:tcPr>
            <w:tcW w:w="2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w w:val="95"/>
              </w:rPr>
              <w:t>Balance</w:t>
            </w: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Expense</w:t>
            </w:r>
          </w:p>
        </w:tc>
        <w:tc>
          <w:tcPr>
            <w:tcW w:w="7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Rate</w:t>
            </w:r>
          </w:p>
        </w:tc>
      </w:tr>
      <w:tr>
        <w:trPr>
          <w:trHeight w:val="311"/>
        </w:trPr>
        <w:tc>
          <w:tcPr>
            <w:tcW w:w="4800" w:type="dxa"/>
            <w:vAlign w:val="bottom"/>
            <w:shd w:val="clear" w:color="auto" w:fill="C0C0C0"/>
          </w:tcPr>
          <w:p>
            <w:pPr>
              <w:spacing w:after="0" w:line="310" w:lineRule="exact"/>
              <w:rPr>
                <w:sz w:val="20"/>
                <w:szCs w:val="20"/>
                <w:color w:val="auto"/>
              </w:rPr>
            </w:pPr>
            <w:r>
              <w:rPr>
                <w:rFonts w:ascii="Arial" w:cs="Arial" w:eastAsia="Arial" w:hAnsi="Arial"/>
                <w:sz w:val="18"/>
                <w:szCs w:val="18"/>
                <w:b w:val="1"/>
                <w:bCs w:val="1"/>
                <w:color w:val="auto"/>
              </w:rPr>
              <w:t>Assets</w:t>
            </w:r>
            <w:r>
              <w:rPr>
                <w:rFonts w:ascii="Arial" w:cs="Arial" w:eastAsia="Arial" w:hAnsi="Arial"/>
                <w:sz w:val="29"/>
                <w:szCs w:val="29"/>
                <w:color w:val="auto"/>
                <w:vertAlign w:val="superscript"/>
              </w:rPr>
              <w:t>1</w:t>
            </w:r>
          </w:p>
        </w:tc>
        <w:tc>
          <w:tcPr>
            <w:tcW w:w="180" w:type="dxa"/>
            <w:vAlign w:val="bottom"/>
            <w:shd w:val="clear" w:color="auto" w:fill="C0C0C0"/>
          </w:tcPr>
          <w:p>
            <w:pPr>
              <w:spacing w:after="0"/>
              <w:rPr>
                <w:sz w:val="24"/>
                <w:szCs w:val="24"/>
                <w:color w:val="auto"/>
              </w:rPr>
            </w:pPr>
          </w:p>
        </w:tc>
        <w:tc>
          <w:tcPr>
            <w:tcW w:w="1040" w:type="dxa"/>
            <w:vAlign w:val="bottom"/>
            <w:shd w:val="clear" w:color="auto" w:fill="C0C0C0"/>
          </w:tcPr>
          <w:p>
            <w:pPr>
              <w:spacing w:after="0"/>
              <w:rPr>
                <w:sz w:val="24"/>
                <w:szCs w:val="24"/>
                <w:color w:val="auto"/>
              </w:rPr>
            </w:pPr>
          </w:p>
        </w:tc>
        <w:tc>
          <w:tcPr>
            <w:tcW w:w="240" w:type="dxa"/>
            <w:vAlign w:val="bottom"/>
            <w:shd w:val="clear" w:color="auto" w:fill="C0C0C0"/>
          </w:tcPr>
          <w:p>
            <w:pPr>
              <w:spacing w:after="0"/>
              <w:rPr>
                <w:sz w:val="24"/>
                <w:szCs w:val="24"/>
                <w:color w:val="auto"/>
              </w:rPr>
            </w:pPr>
          </w:p>
        </w:tc>
        <w:tc>
          <w:tcPr>
            <w:tcW w:w="960" w:type="dxa"/>
            <w:vAlign w:val="bottom"/>
            <w:shd w:val="clear" w:color="auto" w:fill="C0C0C0"/>
          </w:tcPr>
          <w:p>
            <w:pPr>
              <w:spacing w:after="0"/>
              <w:rPr>
                <w:sz w:val="24"/>
                <w:szCs w:val="24"/>
                <w:color w:val="auto"/>
              </w:rPr>
            </w:pPr>
          </w:p>
        </w:tc>
        <w:tc>
          <w:tcPr>
            <w:tcW w:w="760" w:type="dxa"/>
            <w:vAlign w:val="bottom"/>
            <w:shd w:val="clear" w:color="auto" w:fill="C0C0C0"/>
          </w:tcPr>
          <w:p>
            <w:pPr>
              <w:spacing w:after="0"/>
              <w:rPr>
                <w:sz w:val="24"/>
                <w:szCs w:val="24"/>
                <w:color w:val="auto"/>
              </w:rPr>
            </w:pPr>
          </w:p>
        </w:tc>
        <w:tc>
          <w:tcPr>
            <w:tcW w:w="260" w:type="dxa"/>
            <w:vAlign w:val="bottom"/>
            <w:shd w:val="clear" w:color="auto" w:fill="C0C0C0"/>
          </w:tcPr>
          <w:p>
            <w:pPr>
              <w:spacing w:after="0"/>
              <w:rPr>
                <w:sz w:val="24"/>
                <w:szCs w:val="24"/>
                <w:color w:val="auto"/>
              </w:rPr>
            </w:pPr>
          </w:p>
        </w:tc>
        <w:tc>
          <w:tcPr>
            <w:tcW w:w="180" w:type="dxa"/>
            <w:vAlign w:val="bottom"/>
            <w:shd w:val="clear" w:color="auto" w:fill="C0C0C0"/>
          </w:tcPr>
          <w:p>
            <w:pPr>
              <w:spacing w:after="0"/>
              <w:rPr>
                <w:sz w:val="24"/>
                <w:szCs w:val="24"/>
                <w:color w:val="auto"/>
              </w:rPr>
            </w:pPr>
          </w:p>
        </w:tc>
        <w:tc>
          <w:tcPr>
            <w:tcW w:w="1060" w:type="dxa"/>
            <w:vAlign w:val="bottom"/>
            <w:shd w:val="clear" w:color="auto" w:fill="C0C0C0"/>
          </w:tcPr>
          <w:p>
            <w:pPr>
              <w:spacing w:after="0"/>
              <w:rPr>
                <w:sz w:val="24"/>
                <w:szCs w:val="24"/>
                <w:color w:val="auto"/>
              </w:rPr>
            </w:pPr>
          </w:p>
        </w:tc>
        <w:tc>
          <w:tcPr>
            <w:tcW w:w="240" w:type="dxa"/>
            <w:vAlign w:val="bottom"/>
            <w:shd w:val="clear" w:color="auto" w:fill="C0C0C0"/>
          </w:tcPr>
          <w:p>
            <w:pPr>
              <w:spacing w:after="0"/>
              <w:rPr>
                <w:sz w:val="24"/>
                <w:szCs w:val="24"/>
                <w:color w:val="auto"/>
              </w:rPr>
            </w:pPr>
          </w:p>
        </w:tc>
        <w:tc>
          <w:tcPr>
            <w:tcW w:w="940" w:type="dxa"/>
            <w:vAlign w:val="bottom"/>
            <w:shd w:val="clear" w:color="auto" w:fill="C0C0C0"/>
          </w:tcPr>
          <w:p>
            <w:pPr>
              <w:spacing w:after="0"/>
              <w:rPr>
                <w:sz w:val="24"/>
                <w:szCs w:val="24"/>
                <w:color w:val="auto"/>
              </w:rPr>
            </w:pPr>
          </w:p>
        </w:tc>
        <w:tc>
          <w:tcPr>
            <w:tcW w:w="760" w:type="dxa"/>
            <w:vAlign w:val="bottom"/>
            <w:shd w:val="clear" w:color="auto" w:fill="C0C0C0"/>
          </w:tcPr>
          <w:p>
            <w:pPr>
              <w:spacing w:after="0"/>
              <w:rPr>
                <w:sz w:val="24"/>
                <w:szCs w:val="24"/>
                <w:color w:val="auto"/>
              </w:rPr>
            </w:pPr>
          </w:p>
        </w:tc>
      </w:tr>
      <w:tr>
        <w:trPr>
          <w:trHeight w:val="235"/>
        </w:trPr>
        <w:tc>
          <w:tcPr>
            <w:tcW w:w="4800" w:type="dxa"/>
            <w:vAlign w:val="bottom"/>
          </w:tcPr>
          <w:p>
            <w:pPr>
              <w:spacing w:after="0"/>
              <w:rPr>
                <w:sz w:val="20"/>
                <w:szCs w:val="20"/>
                <w:color w:val="auto"/>
              </w:rPr>
            </w:pPr>
            <w:r>
              <w:rPr>
                <w:rFonts w:ascii="Arial" w:cs="Arial" w:eastAsia="Arial" w:hAnsi="Arial"/>
                <w:sz w:val="18"/>
                <w:szCs w:val="18"/>
                <w:color w:val="auto"/>
              </w:rPr>
              <w:t>Earning assets</w:t>
            </w: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318"/>
        </w:trPr>
        <w:tc>
          <w:tcPr>
            <w:tcW w:w="4800" w:type="dxa"/>
            <w:vAlign w:val="bottom"/>
            <w:shd w:val="clear" w:color="auto" w:fill="C0C0C0"/>
          </w:tcPr>
          <w:p>
            <w:pPr>
              <w:spacing w:after="0" w:line="319" w:lineRule="exact"/>
              <w:rPr>
                <w:sz w:val="20"/>
                <w:szCs w:val="20"/>
                <w:color w:val="auto"/>
              </w:rPr>
            </w:pPr>
            <w:r>
              <w:rPr>
                <w:rFonts w:ascii="Arial" w:cs="Arial" w:eastAsia="Arial" w:hAnsi="Arial"/>
                <w:sz w:val="18"/>
                <w:szCs w:val="18"/>
                <w:color w:val="auto"/>
              </w:rPr>
              <w:t>Loans</w:t>
            </w:r>
            <w:r>
              <w:rPr>
                <w:rFonts w:ascii="Arial" w:cs="Arial" w:eastAsia="Arial" w:hAnsi="Arial"/>
                <w:sz w:val="29"/>
                <w:szCs w:val="29"/>
                <w:color w:val="auto"/>
                <w:vertAlign w:val="superscript"/>
              </w:rPr>
              <w:t>2, 3</w:t>
            </w:r>
            <w:r>
              <w:rPr>
                <w:rFonts w:ascii="Arial" w:cs="Arial" w:eastAsia="Arial" w:hAnsi="Arial"/>
                <w:sz w:val="18"/>
                <w:szCs w:val="18"/>
                <w:color w:val="auto"/>
              </w:rPr>
              <w:t>:</w:t>
            </w:r>
          </w:p>
        </w:tc>
        <w:tc>
          <w:tcPr>
            <w:tcW w:w="180" w:type="dxa"/>
            <w:vAlign w:val="bottom"/>
            <w:shd w:val="clear" w:color="auto" w:fill="C0C0C0"/>
          </w:tcPr>
          <w:p>
            <w:pPr>
              <w:spacing w:after="0"/>
              <w:rPr>
                <w:sz w:val="24"/>
                <w:szCs w:val="24"/>
                <w:color w:val="auto"/>
              </w:rPr>
            </w:pPr>
          </w:p>
        </w:tc>
        <w:tc>
          <w:tcPr>
            <w:tcW w:w="1040" w:type="dxa"/>
            <w:vAlign w:val="bottom"/>
            <w:shd w:val="clear" w:color="auto" w:fill="C0C0C0"/>
          </w:tcPr>
          <w:p>
            <w:pPr>
              <w:spacing w:after="0"/>
              <w:rPr>
                <w:sz w:val="24"/>
                <w:szCs w:val="24"/>
                <w:color w:val="auto"/>
              </w:rPr>
            </w:pPr>
          </w:p>
        </w:tc>
        <w:tc>
          <w:tcPr>
            <w:tcW w:w="240" w:type="dxa"/>
            <w:vAlign w:val="bottom"/>
            <w:shd w:val="clear" w:color="auto" w:fill="C0C0C0"/>
          </w:tcPr>
          <w:p>
            <w:pPr>
              <w:spacing w:after="0"/>
              <w:rPr>
                <w:sz w:val="24"/>
                <w:szCs w:val="24"/>
                <w:color w:val="auto"/>
              </w:rPr>
            </w:pPr>
          </w:p>
        </w:tc>
        <w:tc>
          <w:tcPr>
            <w:tcW w:w="960" w:type="dxa"/>
            <w:vAlign w:val="bottom"/>
            <w:shd w:val="clear" w:color="auto" w:fill="C0C0C0"/>
          </w:tcPr>
          <w:p>
            <w:pPr>
              <w:spacing w:after="0"/>
              <w:rPr>
                <w:sz w:val="24"/>
                <w:szCs w:val="24"/>
                <w:color w:val="auto"/>
              </w:rPr>
            </w:pPr>
          </w:p>
        </w:tc>
        <w:tc>
          <w:tcPr>
            <w:tcW w:w="760" w:type="dxa"/>
            <w:vAlign w:val="bottom"/>
            <w:shd w:val="clear" w:color="auto" w:fill="C0C0C0"/>
          </w:tcPr>
          <w:p>
            <w:pPr>
              <w:spacing w:after="0"/>
              <w:rPr>
                <w:sz w:val="24"/>
                <w:szCs w:val="24"/>
                <w:color w:val="auto"/>
              </w:rPr>
            </w:pPr>
          </w:p>
        </w:tc>
        <w:tc>
          <w:tcPr>
            <w:tcW w:w="260" w:type="dxa"/>
            <w:vAlign w:val="bottom"/>
            <w:shd w:val="clear" w:color="auto" w:fill="C0C0C0"/>
          </w:tcPr>
          <w:p>
            <w:pPr>
              <w:spacing w:after="0"/>
              <w:rPr>
                <w:sz w:val="24"/>
                <w:szCs w:val="24"/>
                <w:color w:val="auto"/>
              </w:rPr>
            </w:pPr>
          </w:p>
        </w:tc>
        <w:tc>
          <w:tcPr>
            <w:tcW w:w="180" w:type="dxa"/>
            <w:vAlign w:val="bottom"/>
            <w:shd w:val="clear" w:color="auto" w:fill="C0C0C0"/>
          </w:tcPr>
          <w:p>
            <w:pPr>
              <w:spacing w:after="0"/>
              <w:rPr>
                <w:sz w:val="24"/>
                <w:szCs w:val="24"/>
                <w:color w:val="auto"/>
              </w:rPr>
            </w:pPr>
          </w:p>
        </w:tc>
        <w:tc>
          <w:tcPr>
            <w:tcW w:w="1060" w:type="dxa"/>
            <w:vAlign w:val="bottom"/>
            <w:shd w:val="clear" w:color="auto" w:fill="C0C0C0"/>
          </w:tcPr>
          <w:p>
            <w:pPr>
              <w:spacing w:after="0"/>
              <w:rPr>
                <w:sz w:val="24"/>
                <w:szCs w:val="24"/>
                <w:color w:val="auto"/>
              </w:rPr>
            </w:pPr>
          </w:p>
        </w:tc>
        <w:tc>
          <w:tcPr>
            <w:tcW w:w="240" w:type="dxa"/>
            <w:vAlign w:val="bottom"/>
            <w:shd w:val="clear" w:color="auto" w:fill="C0C0C0"/>
          </w:tcPr>
          <w:p>
            <w:pPr>
              <w:spacing w:after="0"/>
              <w:rPr>
                <w:sz w:val="24"/>
                <w:szCs w:val="24"/>
                <w:color w:val="auto"/>
              </w:rPr>
            </w:pPr>
          </w:p>
        </w:tc>
        <w:tc>
          <w:tcPr>
            <w:tcW w:w="940" w:type="dxa"/>
            <w:vAlign w:val="bottom"/>
            <w:shd w:val="clear" w:color="auto" w:fill="C0C0C0"/>
          </w:tcPr>
          <w:p>
            <w:pPr>
              <w:spacing w:after="0"/>
              <w:rPr>
                <w:sz w:val="24"/>
                <w:szCs w:val="24"/>
                <w:color w:val="auto"/>
              </w:rPr>
            </w:pPr>
          </w:p>
        </w:tc>
        <w:tc>
          <w:tcPr>
            <w:tcW w:w="760" w:type="dxa"/>
            <w:vAlign w:val="bottom"/>
            <w:shd w:val="clear" w:color="auto" w:fill="C0C0C0"/>
          </w:tcPr>
          <w:p>
            <w:pPr>
              <w:spacing w:after="0"/>
              <w:rPr>
                <w:sz w:val="24"/>
                <w:szCs w:val="24"/>
                <w:color w:val="auto"/>
              </w:rPr>
            </w:pPr>
          </w:p>
        </w:tc>
      </w:tr>
      <w:tr>
        <w:trPr>
          <w:trHeight w:val="235"/>
        </w:trPr>
        <w:tc>
          <w:tcPr>
            <w:tcW w:w="4800" w:type="dxa"/>
            <w:vAlign w:val="bottom"/>
          </w:tcPr>
          <w:p>
            <w:pPr>
              <w:ind w:left="280"/>
              <w:spacing w:after="0"/>
              <w:rPr>
                <w:sz w:val="20"/>
                <w:szCs w:val="20"/>
                <w:color w:val="auto"/>
              </w:rPr>
            </w:pPr>
            <w:r>
              <w:rPr>
                <w:rFonts w:ascii="Arial" w:cs="Arial" w:eastAsia="Arial" w:hAnsi="Arial"/>
                <w:sz w:val="18"/>
                <w:szCs w:val="18"/>
                <w:color w:val="auto"/>
              </w:rPr>
              <w:t>Taxable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656,615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13,986</w:t>
            </w:r>
          </w:p>
        </w:tc>
        <w:tc>
          <w:tcPr>
            <w:tcW w:w="760" w:type="dxa"/>
            <w:vAlign w:val="bottom"/>
          </w:tcPr>
          <w:p>
            <w:pPr>
              <w:jc w:val="right"/>
              <w:spacing w:after="0"/>
              <w:rPr>
                <w:sz w:val="20"/>
                <w:szCs w:val="20"/>
                <w:color w:val="auto"/>
              </w:rPr>
            </w:pPr>
            <w:r>
              <w:rPr>
                <w:rFonts w:ascii="Arial" w:cs="Arial" w:eastAsia="Arial" w:hAnsi="Arial"/>
                <w:sz w:val="18"/>
                <w:szCs w:val="18"/>
                <w:color w:val="auto"/>
              </w:rPr>
              <w:t>4.30%</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659,782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14,157</w:t>
            </w:r>
          </w:p>
        </w:tc>
        <w:tc>
          <w:tcPr>
            <w:tcW w:w="760" w:type="dxa"/>
            <w:vAlign w:val="bottom"/>
          </w:tcPr>
          <w:p>
            <w:pPr>
              <w:jc w:val="right"/>
              <w:spacing w:after="0"/>
              <w:rPr>
                <w:sz w:val="20"/>
                <w:szCs w:val="20"/>
                <w:color w:val="auto"/>
              </w:rPr>
            </w:pPr>
            <w:r>
              <w:rPr>
                <w:rFonts w:ascii="Arial" w:cs="Arial" w:eastAsia="Arial" w:hAnsi="Arial"/>
                <w:sz w:val="18"/>
                <w:szCs w:val="18"/>
                <w:color w:val="auto"/>
              </w:rPr>
              <w:t>4.31%</w:t>
            </w:r>
          </w:p>
        </w:tc>
      </w:tr>
      <w:tr>
        <w:trPr>
          <w:trHeight w:val="318"/>
        </w:trPr>
        <w:tc>
          <w:tcPr>
            <w:tcW w:w="4800" w:type="dxa"/>
            <w:vAlign w:val="bottom"/>
            <w:shd w:val="clear" w:color="auto" w:fill="C0C0C0"/>
          </w:tcPr>
          <w:p>
            <w:pPr>
              <w:ind w:left="280"/>
              <w:spacing w:after="0" w:line="319" w:lineRule="exact"/>
              <w:rPr>
                <w:sz w:val="20"/>
                <w:szCs w:val="20"/>
                <w:color w:val="auto"/>
              </w:rPr>
            </w:pPr>
            <w:r>
              <w:rPr>
                <w:rFonts w:ascii="Arial" w:cs="Arial" w:eastAsia="Arial" w:hAnsi="Arial"/>
                <w:sz w:val="18"/>
                <w:szCs w:val="18"/>
                <w:color w:val="auto"/>
              </w:rPr>
              <w:t>Tax-exempt</w:t>
            </w:r>
            <w:r>
              <w:rPr>
                <w:rFonts w:ascii="Arial" w:cs="Arial" w:eastAsia="Arial" w:hAnsi="Arial"/>
                <w:sz w:val="29"/>
                <w:szCs w:val="29"/>
                <w:color w:val="auto"/>
                <w:vertAlign w:val="superscript"/>
              </w:rPr>
              <w:t>4</w:t>
            </w:r>
          </w:p>
        </w:tc>
        <w:tc>
          <w:tcPr>
            <w:tcW w:w="180" w:type="dxa"/>
            <w:vAlign w:val="bottom"/>
            <w:shd w:val="clear" w:color="auto" w:fill="C0C0C0"/>
          </w:tcPr>
          <w:p>
            <w:pPr>
              <w:spacing w:after="0"/>
              <w:rPr>
                <w:sz w:val="24"/>
                <w:szCs w:val="24"/>
                <w:color w:val="auto"/>
              </w:rPr>
            </w:pPr>
          </w:p>
        </w:tc>
        <w:tc>
          <w:tcPr>
            <w:tcW w:w="104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5,684</w:t>
            </w:r>
          </w:p>
        </w:tc>
        <w:tc>
          <w:tcPr>
            <w:tcW w:w="240" w:type="dxa"/>
            <w:vAlign w:val="bottom"/>
            <w:shd w:val="clear" w:color="auto" w:fill="C0C0C0"/>
          </w:tcPr>
          <w:p>
            <w:pPr>
              <w:spacing w:after="0"/>
              <w:rPr>
                <w:sz w:val="24"/>
                <w:szCs w:val="24"/>
                <w:color w:val="auto"/>
              </w:rPr>
            </w:pPr>
          </w:p>
        </w:tc>
        <w:tc>
          <w:tcPr>
            <w:tcW w:w="96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111</w:t>
            </w:r>
          </w:p>
        </w:tc>
        <w:tc>
          <w:tcPr>
            <w:tcW w:w="76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3.94</w:t>
            </w:r>
          </w:p>
        </w:tc>
        <w:tc>
          <w:tcPr>
            <w:tcW w:w="260" w:type="dxa"/>
            <w:vAlign w:val="bottom"/>
            <w:shd w:val="clear" w:color="auto" w:fill="C0C0C0"/>
          </w:tcPr>
          <w:p>
            <w:pPr>
              <w:spacing w:after="0"/>
              <w:rPr>
                <w:sz w:val="24"/>
                <w:szCs w:val="24"/>
                <w:color w:val="auto"/>
              </w:rPr>
            </w:pPr>
          </w:p>
        </w:tc>
        <w:tc>
          <w:tcPr>
            <w:tcW w:w="180" w:type="dxa"/>
            <w:vAlign w:val="bottom"/>
            <w:shd w:val="clear" w:color="auto" w:fill="C0C0C0"/>
          </w:tcPr>
          <w:p>
            <w:pPr>
              <w:spacing w:after="0"/>
              <w:rPr>
                <w:sz w:val="24"/>
                <w:szCs w:val="24"/>
                <w:color w:val="auto"/>
              </w:rPr>
            </w:pPr>
          </w:p>
        </w:tc>
        <w:tc>
          <w:tcPr>
            <w:tcW w:w="106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18,929</w:t>
            </w:r>
          </w:p>
        </w:tc>
        <w:tc>
          <w:tcPr>
            <w:tcW w:w="240" w:type="dxa"/>
            <w:vAlign w:val="bottom"/>
            <w:shd w:val="clear" w:color="auto" w:fill="C0C0C0"/>
          </w:tcPr>
          <w:p>
            <w:pPr>
              <w:spacing w:after="0"/>
              <w:rPr>
                <w:sz w:val="24"/>
                <w:szCs w:val="24"/>
                <w:color w:val="auto"/>
              </w:rPr>
            </w:pPr>
          </w:p>
        </w:tc>
        <w:tc>
          <w:tcPr>
            <w:tcW w:w="94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447</w:t>
            </w:r>
          </w:p>
        </w:tc>
        <w:tc>
          <w:tcPr>
            <w:tcW w:w="7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4.75</w:t>
            </w:r>
          </w:p>
        </w:tc>
      </w:tr>
      <w:tr>
        <w:trPr>
          <w:trHeight w:val="311"/>
        </w:trPr>
        <w:tc>
          <w:tcPr>
            <w:tcW w:w="4800" w:type="dxa"/>
            <w:vAlign w:val="bottom"/>
          </w:tcPr>
          <w:p>
            <w:pPr>
              <w:spacing w:after="0" w:line="310" w:lineRule="exact"/>
              <w:rPr>
                <w:sz w:val="20"/>
                <w:szCs w:val="20"/>
                <w:color w:val="auto"/>
              </w:rPr>
            </w:pPr>
            <w:r>
              <w:rPr>
                <w:rFonts w:ascii="Arial" w:cs="Arial" w:eastAsia="Arial" w:hAnsi="Arial"/>
                <w:sz w:val="18"/>
                <w:szCs w:val="18"/>
                <w:color w:val="auto"/>
              </w:rPr>
              <w:t>Investment securities</w:t>
            </w:r>
            <w:r>
              <w:rPr>
                <w:rFonts w:ascii="Arial" w:cs="Arial" w:eastAsia="Arial" w:hAnsi="Arial"/>
                <w:sz w:val="29"/>
                <w:szCs w:val="29"/>
                <w:color w:val="auto"/>
                <w:vertAlign w:val="superscript"/>
              </w:rPr>
              <w:t>5</w:t>
            </w: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43"/>
        </w:trPr>
        <w:tc>
          <w:tcPr>
            <w:tcW w:w="4800" w:type="dxa"/>
            <w:vAlign w:val="bottom"/>
            <w:shd w:val="clear" w:color="auto" w:fill="C0C0C0"/>
          </w:tcPr>
          <w:p>
            <w:pPr>
              <w:ind w:left="280"/>
              <w:spacing w:after="0"/>
              <w:rPr>
                <w:sz w:val="20"/>
                <w:szCs w:val="20"/>
                <w:color w:val="auto"/>
              </w:rPr>
            </w:pPr>
            <w:r>
              <w:rPr>
                <w:rFonts w:ascii="Arial" w:cs="Arial" w:eastAsia="Arial" w:hAnsi="Arial"/>
                <w:sz w:val="18"/>
                <w:szCs w:val="18"/>
                <w:color w:val="auto"/>
              </w:rPr>
              <w:t>Taxable</w:t>
            </w:r>
          </w:p>
        </w:tc>
        <w:tc>
          <w:tcPr>
            <w:tcW w:w="18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13,975</w:t>
            </w:r>
          </w:p>
        </w:tc>
        <w:tc>
          <w:tcPr>
            <w:tcW w:w="240" w:type="dxa"/>
            <w:vAlign w:val="bottom"/>
            <w:shd w:val="clear" w:color="auto" w:fill="C0C0C0"/>
          </w:tcPr>
          <w:p>
            <w:pPr>
              <w:spacing w:after="0"/>
              <w:rPr>
                <w:sz w:val="21"/>
                <w:szCs w:val="21"/>
                <w:color w:val="auto"/>
              </w:rPr>
            </w:pPr>
          </w:p>
        </w:tc>
        <w:tc>
          <w:tcPr>
            <w:tcW w:w="96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138</w:t>
            </w:r>
          </w:p>
        </w:tc>
        <w:tc>
          <w:tcPr>
            <w:tcW w:w="76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1.99</w:t>
            </w:r>
          </w:p>
        </w:tc>
        <w:tc>
          <w:tcPr>
            <w:tcW w:w="2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06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1,193</w:t>
            </w:r>
          </w:p>
        </w:tc>
        <w:tc>
          <w:tcPr>
            <w:tcW w:w="24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10</w:t>
            </w:r>
          </w:p>
        </w:tc>
        <w:tc>
          <w:tcPr>
            <w:tcW w:w="7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1.69</w:t>
            </w:r>
          </w:p>
        </w:tc>
      </w:tr>
      <w:tr>
        <w:trPr>
          <w:trHeight w:val="311"/>
        </w:trPr>
        <w:tc>
          <w:tcPr>
            <w:tcW w:w="4800" w:type="dxa"/>
            <w:vAlign w:val="bottom"/>
          </w:tcPr>
          <w:p>
            <w:pPr>
              <w:ind w:left="280"/>
              <w:spacing w:after="0" w:line="310" w:lineRule="exact"/>
              <w:rPr>
                <w:sz w:val="20"/>
                <w:szCs w:val="20"/>
                <w:color w:val="auto"/>
              </w:rPr>
            </w:pPr>
            <w:r>
              <w:rPr>
                <w:rFonts w:ascii="Arial" w:cs="Arial" w:eastAsia="Arial" w:hAnsi="Arial"/>
                <w:sz w:val="18"/>
                <w:szCs w:val="18"/>
                <w:color w:val="auto"/>
              </w:rPr>
              <w:t>Tax-exempt</w:t>
            </w:r>
            <w:r>
              <w:rPr>
                <w:rFonts w:ascii="Arial" w:cs="Arial" w:eastAsia="Arial" w:hAnsi="Arial"/>
                <w:sz w:val="29"/>
                <w:szCs w:val="29"/>
                <w:color w:val="auto"/>
                <w:vertAlign w:val="superscript"/>
              </w:rPr>
              <w:t>4</w:t>
            </w:r>
          </w:p>
        </w:tc>
        <w:tc>
          <w:tcPr>
            <w:tcW w:w="180" w:type="dxa"/>
            <w:vAlign w:val="bottom"/>
          </w:tcPr>
          <w:p>
            <w:pPr>
              <w:spacing w:after="0"/>
              <w:rPr>
                <w:sz w:val="24"/>
                <w:szCs w:val="24"/>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399,755</w:t>
            </w:r>
          </w:p>
        </w:tc>
        <w:tc>
          <w:tcPr>
            <w:tcW w:w="240" w:type="dxa"/>
            <w:vAlign w:val="bottom"/>
          </w:tcPr>
          <w:p>
            <w:pPr>
              <w:spacing w:after="0"/>
              <w:rPr>
                <w:sz w:val="24"/>
                <w:szCs w:val="24"/>
                <w:color w:val="auto"/>
              </w:rPr>
            </w:pP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8,092</w:t>
            </w: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4.08</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343,430</w:t>
            </w:r>
          </w:p>
        </w:tc>
        <w:tc>
          <w:tcPr>
            <w:tcW w:w="240" w:type="dxa"/>
            <w:vAlign w:val="bottom"/>
          </w:tcPr>
          <w:p>
            <w:pPr>
              <w:spacing w:after="0"/>
              <w:rPr>
                <w:sz w:val="24"/>
                <w:szCs w:val="24"/>
                <w:color w:val="auto"/>
              </w:rPr>
            </w:pP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7,432</w:t>
            </w: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4.35</w:t>
            </w:r>
          </w:p>
        </w:tc>
      </w:tr>
      <w:tr>
        <w:trPr>
          <w:trHeight w:val="243"/>
        </w:trPr>
        <w:tc>
          <w:tcPr>
            <w:tcW w:w="4800" w:type="dxa"/>
            <w:vAlign w:val="bottom"/>
            <w:shd w:val="clear" w:color="auto" w:fill="C0C0C0"/>
          </w:tcPr>
          <w:p>
            <w:pPr>
              <w:spacing w:after="0"/>
              <w:rPr>
                <w:sz w:val="20"/>
                <w:szCs w:val="20"/>
                <w:color w:val="auto"/>
              </w:rPr>
            </w:pPr>
            <w:r>
              <w:rPr>
                <w:rFonts w:ascii="Arial" w:cs="Arial" w:eastAsia="Arial" w:hAnsi="Arial"/>
                <w:sz w:val="18"/>
                <w:szCs w:val="18"/>
                <w:color w:val="auto"/>
              </w:rPr>
              <w:t>Certificates of deposit</w:t>
            </w:r>
          </w:p>
        </w:tc>
        <w:tc>
          <w:tcPr>
            <w:tcW w:w="18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6,504</w:t>
            </w:r>
          </w:p>
        </w:tc>
        <w:tc>
          <w:tcPr>
            <w:tcW w:w="240" w:type="dxa"/>
            <w:vAlign w:val="bottom"/>
            <w:shd w:val="clear" w:color="auto" w:fill="C0C0C0"/>
          </w:tcPr>
          <w:p>
            <w:pPr>
              <w:spacing w:after="0"/>
              <w:rPr>
                <w:sz w:val="21"/>
                <w:szCs w:val="21"/>
                <w:color w:val="auto"/>
              </w:rPr>
            </w:pPr>
          </w:p>
        </w:tc>
        <w:tc>
          <w:tcPr>
            <w:tcW w:w="96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23</w:t>
            </w:r>
          </w:p>
        </w:tc>
        <w:tc>
          <w:tcPr>
            <w:tcW w:w="76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.71</w:t>
            </w:r>
          </w:p>
        </w:tc>
        <w:tc>
          <w:tcPr>
            <w:tcW w:w="2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06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7,265</w:t>
            </w:r>
          </w:p>
        </w:tc>
        <w:tc>
          <w:tcPr>
            <w:tcW w:w="24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23</w:t>
            </w:r>
          </w:p>
        </w:tc>
        <w:tc>
          <w:tcPr>
            <w:tcW w:w="7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.64</w:t>
            </w:r>
          </w:p>
        </w:tc>
      </w:tr>
      <w:tr>
        <w:trPr>
          <w:trHeight w:val="235"/>
        </w:trPr>
        <w:tc>
          <w:tcPr>
            <w:tcW w:w="4800" w:type="dxa"/>
            <w:vAlign w:val="bottom"/>
          </w:tcPr>
          <w:p>
            <w:pPr>
              <w:spacing w:after="0"/>
              <w:rPr>
                <w:sz w:val="20"/>
                <w:szCs w:val="20"/>
                <w:color w:val="auto"/>
              </w:rPr>
            </w:pPr>
            <w:r>
              <w:rPr>
                <w:rFonts w:ascii="Arial" w:cs="Arial" w:eastAsia="Arial" w:hAnsi="Arial"/>
                <w:sz w:val="18"/>
                <w:szCs w:val="18"/>
                <w:color w:val="auto"/>
              </w:rPr>
              <w:t>Interest-bearing deposits in other financial institutions</w:t>
            </w:r>
          </w:p>
        </w:tc>
        <w:tc>
          <w:tcPr>
            <w:tcW w:w="180" w:type="dxa"/>
            <w:vAlign w:val="bottom"/>
          </w:tcPr>
          <w:p>
            <w:pPr>
              <w:spacing w:after="0"/>
              <w:rPr>
                <w:sz w:val="20"/>
                <w:szCs w:val="20"/>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97,682</w:t>
            </w:r>
          </w:p>
        </w:tc>
        <w:tc>
          <w:tcPr>
            <w:tcW w:w="240" w:type="dxa"/>
            <w:vAlign w:val="bottom"/>
          </w:tcPr>
          <w:p>
            <w:pPr>
              <w:spacing w:after="0"/>
              <w:rPr>
                <w:sz w:val="20"/>
                <w:szCs w:val="20"/>
                <w:color w:val="auto"/>
              </w:rPr>
            </w:pP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403</w:t>
            </w: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.83</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130,540</w:t>
            </w:r>
          </w:p>
        </w:tc>
        <w:tc>
          <w:tcPr>
            <w:tcW w:w="240" w:type="dxa"/>
            <w:vAlign w:val="bottom"/>
          </w:tcPr>
          <w:p>
            <w:pPr>
              <w:spacing w:after="0"/>
              <w:rPr>
                <w:sz w:val="20"/>
                <w:szCs w:val="20"/>
                <w:color w:val="auto"/>
              </w:rPr>
            </w:pP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323</w:t>
            </w: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.50</w:t>
            </w:r>
          </w:p>
        </w:tc>
      </w:tr>
      <w:tr>
        <w:trPr>
          <w:trHeight w:val="244"/>
        </w:trPr>
        <w:tc>
          <w:tcPr>
            <w:tcW w:w="480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Federal funds sold and other short-term investments</w:t>
            </w:r>
          </w:p>
        </w:tc>
        <w:tc>
          <w:tcPr>
            <w:tcW w:w="180" w:type="dxa"/>
            <w:vAlign w:val="bottom"/>
            <w:tcBorders>
              <w:bottom w:val="single" w:sz="8" w:color="auto"/>
            </w:tcBorders>
            <w:shd w:val="clear" w:color="auto" w:fill="C0C0C0"/>
          </w:tcPr>
          <w:p>
            <w:pPr>
              <w:spacing w:after="0"/>
              <w:rPr>
                <w:sz w:val="21"/>
                <w:szCs w:val="21"/>
                <w:color w:val="auto"/>
              </w:rPr>
            </w:pPr>
          </w:p>
        </w:tc>
        <w:tc>
          <w:tcPr>
            <w:tcW w:w="1040" w:type="dxa"/>
            <w:vAlign w:val="bottom"/>
            <w:tcBorders>
              <w:bottom w:val="single" w:sz="8" w:color="auto"/>
            </w:tcBorders>
            <w:shd w:val="clear" w:color="auto" w:fill="C0C0C0"/>
          </w:tcPr>
          <w:p>
            <w:pPr>
              <w:jc w:val="right"/>
              <w:ind w:right="112"/>
              <w:spacing w:after="0"/>
              <w:rPr>
                <w:sz w:val="20"/>
                <w:szCs w:val="20"/>
                <w:color w:val="auto"/>
              </w:rPr>
            </w:pPr>
            <w:r>
              <w:rPr>
                <w:rFonts w:ascii="Arial" w:cs="Arial" w:eastAsia="Arial" w:hAnsi="Arial"/>
                <w:sz w:val="18"/>
                <w:szCs w:val="18"/>
                <w:color w:val="auto"/>
              </w:rPr>
              <w:t>144,263</w:t>
            </w:r>
          </w:p>
        </w:tc>
        <w:tc>
          <w:tcPr>
            <w:tcW w:w="240" w:type="dxa"/>
            <w:vAlign w:val="bottom"/>
            <w:tcBorders>
              <w:bottom w:val="single" w:sz="8" w:color="auto"/>
            </w:tcBorders>
            <w:shd w:val="clear" w:color="auto" w:fill="C0C0C0"/>
          </w:tcPr>
          <w:p>
            <w:pPr>
              <w:spacing w:after="0"/>
              <w:rPr>
                <w:sz w:val="21"/>
                <w:szCs w:val="21"/>
                <w:color w:val="auto"/>
              </w:rPr>
            </w:pPr>
          </w:p>
        </w:tc>
        <w:tc>
          <w:tcPr>
            <w:tcW w:w="960" w:type="dxa"/>
            <w:vAlign w:val="bottom"/>
            <w:tcBorders>
              <w:bottom w:val="single" w:sz="8" w:color="auto"/>
            </w:tcBorders>
            <w:shd w:val="clear" w:color="auto" w:fill="C0C0C0"/>
          </w:tcPr>
          <w:p>
            <w:pPr>
              <w:jc w:val="right"/>
              <w:ind w:right="152"/>
              <w:spacing w:after="0"/>
              <w:rPr>
                <w:sz w:val="20"/>
                <w:szCs w:val="20"/>
                <w:color w:val="auto"/>
              </w:rPr>
            </w:pPr>
            <w:r>
              <w:rPr>
                <w:rFonts w:ascii="Arial" w:cs="Arial" w:eastAsia="Arial" w:hAnsi="Arial"/>
                <w:sz w:val="18"/>
                <w:szCs w:val="18"/>
                <w:color w:val="auto"/>
              </w:rPr>
              <w:t>449</w:t>
            </w:r>
          </w:p>
        </w:tc>
        <w:tc>
          <w:tcPr>
            <w:tcW w:w="760" w:type="dxa"/>
            <w:vAlign w:val="bottom"/>
            <w:tcBorders>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rPr>
              <w:t>.63</w:t>
            </w:r>
          </w:p>
        </w:tc>
        <w:tc>
          <w:tcPr>
            <w:tcW w:w="260" w:type="dxa"/>
            <w:vAlign w:val="bottom"/>
            <w:tcBorders>
              <w:bottom w:val="single" w:sz="8" w:color="auto"/>
            </w:tcBorders>
            <w:shd w:val="clear" w:color="auto" w:fill="C0C0C0"/>
          </w:tcPr>
          <w:p>
            <w:pPr>
              <w:spacing w:after="0"/>
              <w:rPr>
                <w:sz w:val="21"/>
                <w:szCs w:val="21"/>
                <w:color w:val="auto"/>
              </w:rPr>
            </w:pPr>
          </w:p>
        </w:tc>
        <w:tc>
          <w:tcPr>
            <w:tcW w:w="180" w:type="dxa"/>
            <w:vAlign w:val="bottom"/>
            <w:tcBorders>
              <w:bottom w:val="single" w:sz="8" w:color="auto"/>
            </w:tcBorders>
            <w:shd w:val="clear" w:color="auto" w:fill="C0C0C0"/>
          </w:tcPr>
          <w:p>
            <w:pPr>
              <w:spacing w:after="0"/>
              <w:rPr>
                <w:sz w:val="21"/>
                <w:szCs w:val="21"/>
                <w:color w:val="auto"/>
              </w:rPr>
            </w:pPr>
          </w:p>
        </w:tc>
        <w:tc>
          <w:tcPr>
            <w:tcW w:w="106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114,685</w:t>
            </w:r>
          </w:p>
        </w:tc>
        <w:tc>
          <w:tcPr>
            <w:tcW w:w="240" w:type="dxa"/>
            <w:vAlign w:val="bottom"/>
            <w:tcBorders>
              <w:bottom w:val="single" w:sz="8" w:color="auto"/>
            </w:tcBorders>
            <w:shd w:val="clear" w:color="auto" w:fill="C0C0C0"/>
          </w:tcPr>
          <w:p>
            <w:pPr>
              <w:spacing w:after="0"/>
              <w:rPr>
                <w:sz w:val="21"/>
                <w:szCs w:val="21"/>
                <w:color w:val="auto"/>
              </w:rPr>
            </w:pPr>
          </w:p>
        </w:tc>
        <w:tc>
          <w:tcPr>
            <w:tcW w:w="940" w:type="dxa"/>
            <w:vAlign w:val="bottom"/>
            <w:tcBorders>
              <w:bottom w:val="single" w:sz="8" w:color="auto"/>
            </w:tcBorders>
            <w:shd w:val="clear" w:color="auto" w:fill="C0C0C0"/>
          </w:tcPr>
          <w:p>
            <w:pPr>
              <w:jc w:val="right"/>
              <w:ind w:right="152"/>
              <w:spacing w:after="0"/>
              <w:rPr>
                <w:sz w:val="20"/>
                <w:szCs w:val="20"/>
                <w:color w:val="auto"/>
              </w:rPr>
            </w:pPr>
            <w:r>
              <w:rPr>
                <w:rFonts w:ascii="Arial" w:cs="Arial" w:eastAsia="Arial" w:hAnsi="Arial"/>
                <w:sz w:val="18"/>
                <w:szCs w:val="18"/>
                <w:color w:val="auto"/>
              </w:rPr>
              <w:t>153</w:t>
            </w:r>
          </w:p>
        </w:tc>
        <w:tc>
          <w:tcPr>
            <w:tcW w:w="76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.27</w:t>
            </w:r>
          </w:p>
        </w:tc>
      </w:tr>
      <w:tr>
        <w:trPr>
          <w:trHeight w:val="235"/>
        </w:trPr>
        <w:tc>
          <w:tcPr>
            <w:tcW w:w="4800" w:type="dxa"/>
            <w:vAlign w:val="bottom"/>
          </w:tcPr>
          <w:p>
            <w:pPr>
              <w:spacing w:after="0"/>
              <w:rPr>
                <w:sz w:val="20"/>
                <w:szCs w:val="20"/>
                <w:color w:val="auto"/>
              </w:rPr>
            </w:pPr>
            <w:r>
              <w:rPr>
                <w:rFonts w:ascii="Arial" w:cs="Arial" w:eastAsia="Arial" w:hAnsi="Arial"/>
                <w:sz w:val="18"/>
                <w:szCs w:val="18"/>
                <w:color w:val="auto"/>
              </w:rPr>
              <w:t>Total earning assets</w:t>
            </w:r>
          </w:p>
        </w:tc>
        <w:tc>
          <w:tcPr>
            <w:tcW w:w="180" w:type="dxa"/>
            <w:vAlign w:val="bottom"/>
          </w:tcPr>
          <w:p>
            <w:pPr>
              <w:spacing w:after="0"/>
              <w:rPr>
                <w:sz w:val="20"/>
                <w:szCs w:val="20"/>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1,324,478</w:t>
            </w:r>
          </w:p>
        </w:tc>
        <w:tc>
          <w:tcPr>
            <w:tcW w:w="240" w:type="dxa"/>
            <w:vAlign w:val="bottom"/>
          </w:tcPr>
          <w:p>
            <w:pPr>
              <w:spacing w:after="0"/>
              <w:rPr>
                <w:sz w:val="20"/>
                <w:szCs w:val="20"/>
                <w:color w:val="auto"/>
              </w:rPr>
            </w:pP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23,202</w:t>
            </w: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3.53</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1,275,824</w:t>
            </w:r>
          </w:p>
        </w:tc>
        <w:tc>
          <w:tcPr>
            <w:tcW w:w="240" w:type="dxa"/>
            <w:vAlign w:val="bottom"/>
          </w:tcPr>
          <w:p>
            <w:pPr>
              <w:spacing w:after="0"/>
              <w:rPr>
                <w:sz w:val="20"/>
                <w:szCs w:val="20"/>
                <w:color w:val="auto"/>
              </w:rPr>
            </w:pP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22,545</w:t>
            </w: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3.55</w:t>
            </w:r>
          </w:p>
        </w:tc>
      </w:tr>
      <w:tr>
        <w:trPr>
          <w:trHeight w:val="251"/>
        </w:trPr>
        <w:tc>
          <w:tcPr>
            <w:tcW w:w="4800" w:type="dxa"/>
            <w:vAlign w:val="bottom"/>
            <w:shd w:val="clear" w:color="auto" w:fill="C0C0C0"/>
          </w:tcPr>
          <w:p>
            <w:pPr>
              <w:spacing w:after="0"/>
              <w:rPr>
                <w:sz w:val="20"/>
                <w:szCs w:val="20"/>
                <w:color w:val="auto"/>
              </w:rPr>
            </w:pPr>
            <w:r>
              <w:rPr>
                <w:rFonts w:ascii="Arial" w:cs="Arial" w:eastAsia="Arial" w:hAnsi="Arial"/>
                <w:sz w:val="18"/>
                <w:szCs w:val="18"/>
                <w:color w:val="auto"/>
              </w:rPr>
              <w:t>Non-earning assets</w:t>
            </w:r>
          </w:p>
        </w:tc>
        <w:tc>
          <w:tcPr>
            <w:tcW w:w="180" w:type="dxa"/>
            <w:vAlign w:val="bottom"/>
            <w:shd w:val="clear" w:color="auto" w:fill="C0C0C0"/>
          </w:tcPr>
          <w:p>
            <w:pPr>
              <w:spacing w:after="0"/>
              <w:rPr>
                <w:sz w:val="21"/>
                <w:szCs w:val="21"/>
                <w:color w:val="auto"/>
              </w:rPr>
            </w:pPr>
          </w:p>
        </w:tc>
        <w:tc>
          <w:tcPr>
            <w:tcW w:w="104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960" w:type="dxa"/>
            <w:vAlign w:val="bottom"/>
            <w:shd w:val="clear" w:color="auto" w:fill="C0C0C0"/>
          </w:tcPr>
          <w:p>
            <w:pPr>
              <w:spacing w:after="0"/>
              <w:rPr>
                <w:sz w:val="21"/>
                <w:szCs w:val="21"/>
                <w:color w:val="auto"/>
              </w:rPr>
            </w:pPr>
          </w:p>
        </w:tc>
        <w:tc>
          <w:tcPr>
            <w:tcW w:w="7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06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940" w:type="dxa"/>
            <w:vAlign w:val="bottom"/>
            <w:shd w:val="clear" w:color="auto" w:fill="C0C0C0"/>
          </w:tcPr>
          <w:p>
            <w:pPr>
              <w:spacing w:after="0"/>
              <w:rPr>
                <w:sz w:val="21"/>
                <w:szCs w:val="21"/>
                <w:color w:val="auto"/>
              </w:rPr>
            </w:pPr>
          </w:p>
        </w:tc>
        <w:tc>
          <w:tcPr>
            <w:tcW w:w="760" w:type="dxa"/>
            <w:vAlign w:val="bottom"/>
            <w:shd w:val="clear" w:color="auto" w:fill="C0C0C0"/>
          </w:tcPr>
          <w:p>
            <w:pPr>
              <w:spacing w:after="0"/>
              <w:rPr>
                <w:sz w:val="21"/>
                <w:szCs w:val="21"/>
                <w:color w:val="auto"/>
              </w:rPr>
            </w:pPr>
          </w:p>
        </w:tc>
      </w:tr>
      <w:tr>
        <w:trPr>
          <w:trHeight w:val="235"/>
        </w:trPr>
        <w:tc>
          <w:tcPr>
            <w:tcW w:w="4800" w:type="dxa"/>
            <w:vAlign w:val="bottom"/>
          </w:tcPr>
          <w:p>
            <w:pPr>
              <w:ind w:left="280"/>
              <w:spacing w:after="0"/>
              <w:rPr>
                <w:sz w:val="20"/>
                <w:szCs w:val="20"/>
                <w:color w:val="auto"/>
              </w:rPr>
            </w:pPr>
            <w:r>
              <w:rPr>
                <w:rFonts w:ascii="Arial" w:cs="Arial" w:eastAsia="Arial" w:hAnsi="Arial"/>
                <w:sz w:val="18"/>
                <w:szCs w:val="18"/>
                <w:color w:val="auto"/>
              </w:rPr>
              <w:t>Cash and due from banks</w:t>
            </w:r>
          </w:p>
        </w:tc>
        <w:tc>
          <w:tcPr>
            <w:tcW w:w="180" w:type="dxa"/>
            <w:vAlign w:val="bottom"/>
          </w:tcPr>
          <w:p>
            <w:pPr>
              <w:spacing w:after="0"/>
              <w:rPr>
                <w:sz w:val="20"/>
                <w:szCs w:val="20"/>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12,741</w:t>
            </w: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11,523</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51"/>
        </w:trPr>
        <w:tc>
          <w:tcPr>
            <w:tcW w:w="4800" w:type="dxa"/>
            <w:vAlign w:val="bottom"/>
            <w:shd w:val="clear" w:color="auto" w:fill="C0C0C0"/>
          </w:tcPr>
          <w:p>
            <w:pPr>
              <w:ind w:left="280"/>
              <w:spacing w:after="0"/>
              <w:rPr>
                <w:sz w:val="20"/>
                <w:szCs w:val="20"/>
                <w:color w:val="auto"/>
              </w:rPr>
            </w:pPr>
            <w:r>
              <w:rPr>
                <w:rFonts w:ascii="Arial" w:cs="Arial" w:eastAsia="Arial" w:hAnsi="Arial"/>
                <w:sz w:val="18"/>
                <w:szCs w:val="18"/>
                <w:color w:val="auto"/>
              </w:rPr>
              <w:t>Premises and equipment, net</w:t>
            </w:r>
          </w:p>
        </w:tc>
        <w:tc>
          <w:tcPr>
            <w:tcW w:w="18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21,210</w:t>
            </w:r>
          </w:p>
        </w:tc>
        <w:tc>
          <w:tcPr>
            <w:tcW w:w="240" w:type="dxa"/>
            <w:vAlign w:val="bottom"/>
            <w:shd w:val="clear" w:color="auto" w:fill="C0C0C0"/>
          </w:tcPr>
          <w:p>
            <w:pPr>
              <w:spacing w:after="0"/>
              <w:rPr>
                <w:sz w:val="21"/>
                <w:szCs w:val="21"/>
                <w:color w:val="auto"/>
              </w:rPr>
            </w:pPr>
          </w:p>
        </w:tc>
        <w:tc>
          <w:tcPr>
            <w:tcW w:w="960" w:type="dxa"/>
            <w:vAlign w:val="bottom"/>
            <w:shd w:val="clear" w:color="auto" w:fill="C0C0C0"/>
          </w:tcPr>
          <w:p>
            <w:pPr>
              <w:spacing w:after="0"/>
              <w:rPr>
                <w:sz w:val="21"/>
                <w:szCs w:val="21"/>
                <w:color w:val="auto"/>
              </w:rPr>
            </w:pPr>
          </w:p>
        </w:tc>
        <w:tc>
          <w:tcPr>
            <w:tcW w:w="7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06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20,167</w:t>
            </w:r>
          </w:p>
        </w:tc>
        <w:tc>
          <w:tcPr>
            <w:tcW w:w="240" w:type="dxa"/>
            <w:vAlign w:val="bottom"/>
            <w:shd w:val="clear" w:color="auto" w:fill="C0C0C0"/>
          </w:tcPr>
          <w:p>
            <w:pPr>
              <w:spacing w:after="0"/>
              <w:rPr>
                <w:sz w:val="21"/>
                <w:szCs w:val="21"/>
                <w:color w:val="auto"/>
              </w:rPr>
            </w:pPr>
          </w:p>
        </w:tc>
        <w:tc>
          <w:tcPr>
            <w:tcW w:w="940" w:type="dxa"/>
            <w:vAlign w:val="bottom"/>
            <w:shd w:val="clear" w:color="auto" w:fill="C0C0C0"/>
          </w:tcPr>
          <w:p>
            <w:pPr>
              <w:spacing w:after="0"/>
              <w:rPr>
                <w:sz w:val="21"/>
                <w:szCs w:val="21"/>
                <w:color w:val="auto"/>
              </w:rPr>
            </w:pPr>
          </w:p>
        </w:tc>
        <w:tc>
          <w:tcPr>
            <w:tcW w:w="760" w:type="dxa"/>
            <w:vAlign w:val="bottom"/>
            <w:shd w:val="clear" w:color="auto" w:fill="C0C0C0"/>
          </w:tcPr>
          <w:p>
            <w:pPr>
              <w:spacing w:after="0"/>
              <w:rPr>
                <w:sz w:val="21"/>
                <w:szCs w:val="21"/>
                <w:color w:val="auto"/>
              </w:rPr>
            </w:pPr>
          </w:p>
        </w:tc>
      </w:tr>
      <w:tr>
        <w:trPr>
          <w:trHeight w:val="235"/>
        </w:trPr>
        <w:tc>
          <w:tcPr>
            <w:tcW w:w="4800" w:type="dxa"/>
            <w:vAlign w:val="bottom"/>
          </w:tcPr>
          <w:p>
            <w:pPr>
              <w:ind w:left="280"/>
              <w:spacing w:after="0"/>
              <w:rPr>
                <w:sz w:val="20"/>
                <w:szCs w:val="20"/>
                <w:color w:val="auto"/>
              </w:rPr>
            </w:pPr>
            <w:r>
              <w:rPr>
                <w:rFonts w:ascii="Arial" w:cs="Arial" w:eastAsia="Arial" w:hAnsi="Arial"/>
                <w:sz w:val="18"/>
                <w:szCs w:val="18"/>
                <w:color w:val="auto"/>
              </w:rPr>
              <w:t>Bank-owned life insurance</w:t>
            </w:r>
          </w:p>
        </w:tc>
        <w:tc>
          <w:tcPr>
            <w:tcW w:w="180" w:type="dxa"/>
            <w:vAlign w:val="bottom"/>
          </w:tcPr>
          <w:p>
            <w:pPr>
              <w:spacing w:after="0"/>
              <w:rPr>
                <w:sz w:val="20"/>
                <w:szCs w:val="20"/>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16,553</w:t>
            </w: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16,045</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51"/>
        </w:trPr>
        <w:tc>
          <w:tcPr>
            <w:tcW w:w="4800" w:type="dxa"/>
            <w:vAlign w:val="bottom"/>
            <w:shd w:val="clear" w:color="auto" w:fill="C0C0C0"/>
          </w:tcPr>
          <w:p>
            <w:pPr>
              <w:ind w:left="280"/>
              <w:spacing w:after="0"/>
              <w:rPr>
                <w:sz w:val="20"/>
                <w:szCs w:val="20"/>
                <w:color w:val="auto"/>
              </w:rPr>
            </w:pPr>
            <w:r>
              <w:rPr>
                <w:rFonts w:ascii="Arial" w:cs="Arial" w:eastAsia="Arial" w:hAnsi="Arial"/>
                <w:sz w:val="18"/>
                <w:szCs w:val="18"/>
                <w:color w:val="auto"/>
              </w:rPr>
              <w:t>Goodwill and other intangibles</w:t>
            </w:r>
          </w:p>
        </w:tc>
        <w:tc>
          <w:tcPr>
            <w:tcW w:w="18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14,239</w:t>
            </w:r>
          </w:p>
        </w:tc>
        <w:tc>
          <w:tcPr>
            <w:tcW w:w="240" w:type="dxa"/>
            <w:vAlign w:val="bottom"/>
            <w:shd w:val="clear" w:color="auto" w:fill="C0C0C0"/>
          </w:tcPr>
          <w:p>
            <w:pPr>
              <w:spacing w:after="0"/>
              <w:rPr>
                <w:sz w:val="21"/>
                <w:szCs w:val="21"/>
                <w:color w:val="auto"/>
              </w:rPr>
            </w:pPr>
          </w:p>
        </w:tc>
        <w:tc>
          <w:tcPr>
            <w:tcW w:w="960" w:type="dxa"/>
            <w:vAlign w:val="bottom"/>
            <w:shd w:val="clear" w:color="auto" w:fill="C0C0C0"/>
          </w:tcPr>
          <w:p>
            <w:pPr>
              <w:spacing w:after="0"/>
              <w:rPr>
                <w:sz w:val="21"/>
                <w:szCs w:val="21"/>
                <w:color w:val="auto"/>
              </w:rPr>
            </w:pPr>
          </w:p>
        </w:tc>
        <w:tc>
          <w:tcPr>
            <w:tcW w:w="7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06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13,902</w:t>
            </w:r>
          </w:p>
        </w:tc>
        <w:tc>
          <w:tcPr>
            <w:tcW w:w="240" w:type="dxa"/>
            <w:vAlign w:val="bottom"/>
            <w:shd w:val="clear" w:color="auto" w:fill="C0C0C0"/>
          </w:tcPr>
          <w:p>
            <w:pPr>
              <w:spacing w:after="0"/>
              <w:rPr>
                <w:sz w:val="21"/>
                <w:szCs w:val="21"/>
                <w:color w:val="auto"/>
              </w:rPr>
            </w:pPr>
          </w:p>
        </w:tc>
        <w:tc>
          <w:tcPr>
            <w:tcW w:w="940" w:type="dxa"/>
            <w:vAlign w:val="bottom"/>
            <w:shd w:val="clear" w:color="auto" w:fill="C0C0C0"/>
          </w:tcPr>
          <w:p>
            <w:pPr>
              <w:spacing w:after="0"/>
              <w:rPr>
                <w:sz w:val="21"/>
                <w:szCs w:val="21"/>
                <w:color w:val="auto"/>
              </w:rPr>
            </w:pPr>
          </w:p>
        </w:tc>
        <w:tc>
          <w:tcPr>
            <w:tcW w:w="760" w:type="dxa"/>
            <w:vAlign w:val="bottom"/>
            <w:shd w:val="clear" w:color="auto" w:fill="C0C0C0"/>
          </w:tcPr>
          <w:p>
            <w:pPr>
              <w:spacing w:after="0"/>
              <w:rPr>
                <w:sz w:val="21"/>
                <w:szCs w:val="21"/>
                <w:color w:val="auto"/>
              </w:rPr>
            </w:pPr>
          </w:p>
        </w:tc>
      </w:tr>
      <w:tr>
        <w:trPr>
          <w:trHeight w:val="235"/>
        </w:trPr>
        <w:tc>
          <w:tcPr>
            <w:tcW w:w="4800" w:type="dxa"/>
            <w:vAlign w:val="bottom"/>
          </w:tcPr>
          <w:p>
            <w:pPr>
              <w:ind w:left="280"/>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20"/>
                <w:szCs w:val="20"/>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141,453</w:t>
            </w: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141,804</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44"/>
        </w:trPr>
        <w:tc>
          <w:tcPr>
            <w:tcW w:w="4800" w:type="dxa"/>
            <w:vAlign w:val="bottom"/>
            <w:tcBorders>
              <w:bottom w:val="single" w:sz="8" w:color="auto"/>
            </w:tcBorders>
            <w:shd w:val="clear" w:color="auto" w:fill="C0C0C0"/>
          </w:tcPr>
          <w:p>
            <w:pPr>
              <w:ind w:left="280"/>
              <w:spacing w:after="0"/>
              <w:rPr>
                <w:sz w:val="20"/>
                <w:szCs w:val="20"/>
                <w:color w:val="auto"/>
              </w:rPr>
            </w:pPr>
            <w:r>
              <w:rPr>
                <w:rFonts w:ascii="Arial" w:cs="Arial" w:eastAsia="Arial" w:hAnsi="Arial"/>
                <w:sz w:val="18"/>
                <w:szCs w:val="18"/>
                <w:color w:val="auto"/>
              </w:rPr>
              <w:t>Allowance for loan losses</w:t>
            </w:r>
          </w:p>
        </w:tc>
        <w:tc>
          <w:tcPr>
            <w:tcW w:w="180" w:type="dxa"/>
            <w:vAlign w:val="bottom"/>
            <w:tcBorders>
              <w:bottom w:val="single" w:sz="8" w:color="auto"/>
            </w:tcBorders>
            <w:shd w:val="clear" w:color="auto" w:fill="C0C0C0"/>
          </w:tcPr>
          <w:p>
            <w:pPr>
              <w:spacing w:after="0"/>
              <w:rPr>
                <w:sz w:val="21"/>
                <w:szCs w:val="21"/>
                <w:color w:val="auto"/>
              </w:rPr>
            </w:pPr>
          </w:p>
        </w:tc>
        <w:tc>
          <w:tcPr>
            <w:tcW w:w="104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(10,186)</w:t>
            </w:r>
          </w:p>
        </w:tc>
        <w:tc>
          <w:tcPr>
            <w:tcW w:w="240" w:type="dxa"/>
            <w:vAlign w:val="bottom"/>
            <w:tcBorders>
              <w:bottom w:val="single" w:sz="8" w:color="auto"/>
            </w:tcBorders>
            <w:shd w:val="clear" w:color="auto" w:fill="C0C0C0"/>
          </w:tcPr>
          <w:p>
            <w:pPr>
              <w:spacing w:after="0"/>
              <w:rPr>
                <w:sz w:val="21"/>
                <w:szCs w:val="21"/>
                <w:color w:val="auto"/>
              </w:rPr>
            </w:pPr>
          </w:p>
        </w:tc>
        <w:tc>
          <w:tcPr>
            <w:tcW w:w="960" w:type="dxa"/>
            <w:vAlign w:val="bottom"/>
            <w:tcBorders>
              <w:bottom w:val="single" w:sz="8" w:color="auto"/>
            </w:tcBorders>
            <w:shd w:val="clear" w:color="auto" w:fill="C0C0C0"/>
          </w:tcPr>
          <w:p>
            <w:pPr>
              <w:spacing w:after="0"/>
              <w:rPr>
                <w:sz w:val="21"/>
                <w:szCs w:val="21"/>
                <w:color w:val="auto"/>
              </w:rPr>
            </w:pPr>
          </w:p>
        </w:tc>
        <w:tc>
          <w:tcPr>
            <w:tcW w:w="760" w:type="dxa"/>
            <w:vAlign w:val="bottom"/>
            <w:tcBorders>
              <w:bottom w:val="single" w:sz="8" w:color="auto"/>
            </w:tcBorders>
            <w:shd w:val="clear" w:color="auto" w:fill="C0C0C0"/>
          </w:tcPr>
          <w:p>
            <w:pPr>
              <w:spacing w:after="0"/>
              <w:rPr>
                <w:sz w:val="21"/>
                <w:szCs w:val="21"/>
                <w:color w:val="auto"/>
              </w:rPr>
            </w:pPr>
          </w:p>
        </w:tc>
        <w:tc>
          <w:tcPr>
            <w:tcW w:w="260" w:type="dxa"/>
            <w:vAlign w:val="bottom"/>
            <w:tcBorders>
              <w:bottom w:val="single" w:sz="8" w:color="auto"/>
            </w:tcBorders>
            <w:shd w:val="clear" w:color="auto" w:fill="C0C0C0"/>
          </w:tcPr>
          <w:p>
            <w:pPr>
              <w:spacing w:after="0"/>
              <w:rPr>
                <w:sz w:val="21"/>
                <w:szCs w:val="21"/>
                <w:color w:val="auto"/>
              </w:rPr>
            </w:pPr>
          </w:p>
        </w:tc>
        <w:tc>
          <w:tcPr>
            <w:tcW w:w="180" w:type="dxa"/>
            <w:vAlign w:val="bottom"/>
            <w:tcBorders>
              <w:bottom w:val="single" w:sz="8" w:color="auto"/>
            </w:tcBorders>
            <w:shd w:val="clear" w:color="auto" w:fill="C0C0C0"/>
          </w:tcPr>
          <w:p>
            <w:pPr>
              <w:spacing w:after="0"/>
              <w:rPr>
                <w:sz w:val="21"/>
                <w:szCs w:val="21"/>
                <w:color w:val="auto"/>
              </w:rPr>
            </w:pPr>
          </w:p>
        </w:tc>
        <w:tc>
          <w:tcPr>
            <w:tcW w:w="1060" w:type="dxa"/>
            <w:vAlign w:val="bottom"/>
            <w:tcBorders>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rPr>
              <w:t>(11,137)</w:t>
            </w:r>
          </w:p>
        </w:tc>
        <w:tc>
          <w:tcPr>
            <w:tcW w:w="240" w:type="dxa"/>
            <w:vAlign w:val="bottom"/>
            <w:tcBorders>
              <w:bottom w:val="single" w:sz="8" w:color="auto"/>
            </w:tcBorders>
            <w:shd w:val="clear" w:color="auto" w:fill="C0C0C0"/>
          </w:tcPr>
          <w:p>
            <w:pPr>
              <w:spacing w:after="0"/>
              <w:rPr>
                <w:sz w:val="21"/>
                <w:szCs w:val="21"/>
                <w:color w:val="auto"/>
              </w:rPr>
            </w:pPr>
          </w:p>
        </w:tc>
        <w:tc>
          <w:tcPr>
            <w:tcW w:w="940" w:type="dxa"/>
            <w:vAlign w:val="bottom"/>
            <w:tcBorders>
              <w:bottom w:val="single" w:sz="8" w:color="auto"/>
            </w:tcBorders>
            <w:shd w:val="clear" w:color="auto" w:fill="C0C0C0"/>
          </w:tcPr>
          <w:p>
            <w:pPr>
              <w:spacing w:after="0"/>
              <w:rPr>
                <w:sz w:val="21"/>
                <w:szCs w:val="21"/>
                <w:color w:val="auto"/>
              </w:rPr>
            </w:pPr>
          </w:p>
        </w:tc>
        <w:tc>
          <w:tcPr>
            <w:tcW w:w="760" w:type="dxa"/>
            <w:vAlign w:val="bottom"/>
            <w:tcBorders>
              <w:bottom w:val="single" w:sz="8" w:color="auto"/>
            </w:tcBorders>
            <w:shd w:val="clear" w:color="auto" w:fill="C0C0C0"/>
          </w:tcPr>
          <w:p>
            <w:pPr>
              <w:spacing w:after="0"/>
              <w:rPr>
                <w:sz w:val="21"/>
                <w:szCs w:val="21"/>
                <w:color w:val="auto"/>
              </w:rPr>
            </w:pPr>
          </w:p>
        </w:tc>
      </w:tr>
      <w:tr>
        <w:trPr>
          <w:trHeight w:val="237"/>
        </w:trPr>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1,520,488</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1,468,128</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r>
      <w:tr>
        <w:trPr>
          <w:trHeight w:val="311"/>
        </w:trPr>
        <w:tc>
          <w:tcPr>
            <w:tcW w:w="4800" w:type="dxa"/>
            <w:vAlign w:val="bottom"/>
            <w:shd w:val="clear" w:color="auto" w:fill="C0C0C0"/>
          </w:tcPr>
          <w:p>
            <w:pPr>
              <w:spacing w:after="0" w:line="310" w:lineRule="exact"/>
              <w:rPr>
                <w:sz w:val="20"/>
                <w:szCs w:val="20"/>
                <w:color w:val="auto"/>
              </w:rPr>
            </w:pPr>
            <w:r>
              <w:rPr>
                <w:rFonts w:ascii="Arial" w:cs="Arial" w:eastAsia="Arial" w:hAnsi="Arial"/>
                <w:sz w:val="18"/>
                <w:szCs w:val="18"/>
                <w:b w:val="1"/>
                <w:bCs w:val="1"/>
                <w:color w:val="auto"/>
              </w:rPr>
              <w:t>Liabilities and Shareholders’ Equity</w:t>
            </w:r>
            <w:r>
              <w:rPr>
                <w:rFonts w:ascii="Arial" w:cs="Arial" w:eastAsia="Arial" w:hAnsi="Arial"/>
                <w:sz w:val="29"/>
                <w:szCs w:val="29"/>
                <w:b w:val="1"/>
                <w:bCs w:val="1"/>
                <w:color w:val="auto"/>
                <w:vertAlign w:val="superscript"/>
              </w:rPr>
              <w:t>1</w:t>
            </w:r>
          </w:p>
        </w:tc>
        <w:tc>
          <w:tcPr>
            <w:tcW w:w="180" w:type="dxa"/>
            <w:vAlign w:val="bottom"/>
            <w:shd w:val="clear" w:color="auto" w:fill="C0C0C0"/>
          </w:tcPr>
          <w:p>
            <w:pPr>
              <w:spacing w:after="0"/>
              <w:rPr>
                <w:sz w:val="24"/>
                <w:szCs w:val="24"/>
                <w:color w:val="auto"/>
              </w:rPr>
            </w:pPr>
          </w:p>
        </w:tc>
        <w:tc>
          <w:tcPr>
            <w:tcW w:w="1040" w:type="dxa"/>
            <w:vAlign w:val="bottom"/>
            <w:shd w:val="clear" w:color="auto" w:fill="C0C0C0"/>
          </w:tcPr>
          <w:p>
            <w:pPr>
              <w:spacing w:after="0"/>
              <w:rPr>
                <w:sz w:val="24"/>
                <w:szCs w:val="24"/>
                <w:color w:val="auto"/>
              </w:rPr>
            </w:pPr>
          </w:p>
        </w:tc>
        <w:tc>
          <w:tcPr>
            <w:tcW w:w="240" w:type="dxa"/>
            <w:vAlign w:val="bottom"/>
            <w:shd w:val="clear" w:color="auto" w:fill="C0C0C0"/>
          </w:tcPr>
          <w:p>
            <w:pPr>
              <w:spacing w:after="0"/>
              <w:rPr>
                <w:sz w:val="24"/>
                <w:szCs w:val="24"/>
                <w:color w:val="auto"/>
              </w:rPr>
            </w:pPr>
          </w:p>
        </w:tc>
        <w:tc>
          <w:tcPr>
            <w:tcW w:w="960" w:type="dxa"/>
            <w:vAlign w:val="bottom"/>
            <w:shd w:val="clear" w:color="auto" w:fill="C0C0C0"/>
          </w:tcPr>
          <w:p>
            <w:pPr>
              <w:spacing w:after="0"/>
              <w:rPr>
                <w:sz w:val="24"/>
                <w:szCs w:val="24"/>
                <w:color w:val="auto"/>
              </w:rPr>
            </w:pPr>
          </w:p>
        </w:tc>
        <w:tc>
          <w:tcPr>
            <w:tcW w:w="760" w:type="dxa"/>
            <w:vAlign w:val="bottom"/>
            <w:shd w:val="clear" w:color="auto" w:fill="C0C0C0"/>
          </w:tcPr>
          <w:p>
            <w:pPr>
              <w:spacing w:after="0"/>
              <w:rPr>
                <w:sz w:val="24"/>
                <w:szCs w:val="24"/>
                <w:color w:val="auto"/>
              </w:rPr>
            </w:pPr>
          </w:p>
        </w:tc>
        <w:tc>
          <w:tcPr>
            <w:tcW w:w="260" w:type="dxa"/>
            <w:vAlign w:val="bottom"/>
            <w:shd w:val="clear" w:color="auto" w:fill="C0C0C0"/>
          </w:tcPr>
          <w:p>
            <w:pPr>
              <w:spacing w:after="0"/>
              <w:rPr>
                <w:sz w:val="24"/>
                <w:szCs w:val="24"/>
                <w:color w:val="auto"/>
              </w:rPr>
            </w:pPr>
          </w:p>
        </w:tc>
        <w:tc>
          <w:tcPr>
            <w:tcW w:w="180" w:type="dxa"/>
            <w:vAlign w:val="bottom"/>
            <w:shd w:val="clear" w:color="auto" w:fill="C0C0C0"/>
          </w:tcPr>
          <w:p>
            <w:pPr>
              <w:spacing w:after="0"/>
              <w:rPr>
                <w:sz w:val="24"/>
                <w:szCs w:val="24"/>
                <w:color w:val="auto"/>
              </w:rPr>
            </w:pPr>
          </w:p>
        </w:tc>
        <w:tc>
          <w:tcPr>
            <w:tcW w:w="1060" w:type="dxa"/>
            <w:vAlign w:val="bottom"/>
            <w:shd w:val="clear" w:color="auto" w:fill="C0C0C0"/>
          </w:tcPr>
          <w:p>
            <w:pPr>
              <w:spacing w:after="0"/>
              <w:rPr>
                <w:sz w:val="24"/>
                <w:szCs w:val="24"/>
                <w:color w:val="auto"/>
              </w:rPr>
            </w:pPr>
          </w:p>
        </w:tc>
        <w:tc>
          <w:tcPr>
            <w:tcW w:w="240" w:type="dxa"/>
            <w:vAlign w:val="bottom"/>
            <w:shd w:val="clear" w:color="auto" w:fill="C0C0C0"/>
          </w:tcPr>
          <w:p>
            <w:pPr>
              <w:spacing w:after="0"/>
              <w:rPr>
                <w:sz w:val="24"/>
                <w:szCs w:val="24"/>
                <w:color w:val="auto"/>
              </w:rPr>
            </w:pPr>
          </w:p>
        </w:tc>
        <w:tc>
          <w:tcPr>
            <w:tcW w:w="940" w:type="dxa"/>
            <w:vAlign w:val="bottom"/>
            <w:shd w:val="clear" w:color="auto" w:fill="C0C0C0"/>
          </w:tcPr>
          <w:p>
            <w:pPr>
              <w:spacing w:after="0"/>
              <w:rPr>
                <w:sz w:val="24"/>
                <w:szCs w:val="24"/>
                <w:color w:val="auto"/>
              </w:rPr>
            </w:pPr>
          </w:p>
        </w:tc>
        <w:tc>
          <w:tcPr>
            <w:tcW w:w="760" w:type="dxa"/>
            <w:vAlign w:val="bottom"/>
            <w:shd w:val="clear" w:color="auto" w:fill="C0C0C0"/>
          </w:tcPr>
          <w:p>
            <w:pPr>
              <w:spacing w:after="0"/>
              <w:rPr>
                <w:sz w:val="24"/>
                <w:szCs w:val="24"/>
                <w:color w:val="auto"/>
              </w:rPr>
            </w:pPr>
          </w:p>
        </w:tc>
      </w:tr>
      <w:tr>
        <w:trPr>
          <w:trHeight w:val="235"/>
        </w:trPr>
        <w:tc>
          <w:tcPr>
            <w:tcW w:w="4800" w:type="dxa"/>
            <w:vAlign w:val="bottom"/>
          </w:tcPr>
          <w:p>
            <w:pPr>
              <w:spacing w:after="0"/>
              <w:rPr>
                <w:sz w:val="20"/>
                <w:szCs w:val="20"/>
                <w:color w:val="auto"/>
              </w:rPr>
            </w:pPr>
            <w:r>
              <w:rPr>
                <w:rFonts w:ascii="Arial" w:cs="Arial" w:eastAsia="Arial" w:hAnsi="Arial"/>
                <w:sz w:val="18"/>
                <w:szCs w:val="18"/>
                <w:color w:val="auto"/>
              </w:rPr>
              <w:t>Interest-bearing liabilities</w:t>
            </w: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51"/>
        </w:trPr>
        <w:tc>
          <w:tcPr>
            <w:tcW w:w="4800" w:type="dxa"/>
            <w:vAlign w:val="bottom"/>
            <w:shd w:val="clear" w:color="auto" w:fill="C0C0C0"/>
          </w:tcPr>
          <w:p>
            <w:pPr>
              <w:ind w:left="280"/>
              <w:spacing w:after="0"/>
              <w:rPr>
                <w:sz w:val="20"/>
                <w:szCs w:val="20"/>
                <w:color w:val="auto"/>
              </w:rPr>
            </w:pPr>
            <w:r>
              <w:rPr>
                <w:rFonts w:ascii="Arial" w:cs="Arial" w:eastAsia="Arial" w:hAnsi="Arial"/>
                <w:sz w:val="18"/>
                <w:szCs w:val="18"/>
                <w:color w:val="auto"/>
              </w:rPr>
              <w:t>Interest-bearing demand deposits</w:t>
            </w:r>
          </w:p>
        </w:tc>
        <w:tc>
          <w:tcPr>
            <w:tcW w:w="18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311,480</w:t>
            </w:r>
          </w:p>
        </w:tc>
        <w:tc>
          <w:tcPr>
            <w:tcW w:w="2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657</w:t>
            </w: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.43%</w:t>
            </w:r>
          </w:p>
        </w:tc>
        <w:tc>
          <w:tcPr>
            <w:tcW w:w="440" w:type="dxa"/>
            <w:vAlign w:val="bottom"/>
            <w:gridSpan w:val="2"/>
            <w:shd w:val="clear" w:color="auto" w:fill="C0C0C0"/>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346,326</w:t>
            </w:r>
          </w:p>
        </w:tc>
        <w:tc>
          <w:tcPr>
            <w:tcW w:w="2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695</w:t>
            </w: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.40%</w:t>
            </w:r>
          </w:p>
        </w:tc>
      </w:tr>
      <w:tr>
        <w:trPr>
          <w:trHeight w:val="235"/>
        </w:trPr>
        <w:tc>
          <w:tcPr>
            <w:tcW w:w="4800" w:type="dxa"/>
            <w:vAlign w:val="bottom"/>
          </w:tcPr>
          <w:p>
            <w:pPr>
              <w:ind w:left="280"/>
              <w:spacing w:after="0"/>
              <w:rPr>
                <w:sz w:val="20"/>
                <w:szCs w:val="20"/>
                <w:color w:val="auto"/>
              </w:rPr>
            </w:pPr>
            <w:r>
              <w:rPr>
                <w:rFonts w:ascii="Arial" w:cs="Arial" w:eastAsia="Arial" w:hAnsi="Arial"/>
                <w:sz w:val="18"/>
                <w:szCs w:val="18"/>
                <w:color w:val="auto"/>
              </w:rPr>
              <w:t>Savings deposits</w:t>
            </w:r>
          </w:p>
        </w:tc>
        <w:tc>
          <w:tcPr>
            <w:tcW w:w="180" w:type="dxa"/>
            <w:vAlign w:val="bottom"/>
          </w:tcPr>
          <w:p>
            <w:pPr>
              <w:spacing w:after="0"/>
              <w:rPr>
                <w:sz w:val="20"/>
                <w:szCs w:val="20"/>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19,302</w:t>
            </w:r>
          </w:p>
        </w:tc>
        <w:tc>
          <w:tcPr>
            <w:tcW w:w="240" w:type="dxa"/>
            <w:vAlign w:val="bottom"/>
          </w:tcPr>
          <w:p>
            <w:pPr>
              <w:spacing w:after="0"/>
              <w:rPr>
                <w:sz w:val="20"/>
                <w:szCs w:val="20"/>
                <w:color w:val="auto"/>
              </w:rPr>
            </w:pP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45</w:t>
            </w: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.47</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18,290</w:t>
            </w:r>
          </w:p>
        </w:tc>
        <w:tc>
          <w:tcPr>
            <w:tcW w:w="240" w:type="dxa"/>
            <w:vAlign w:val="bottom"/>
          </w:tcPr>
          <w:p>
            <w:pPr>
              <w:spacing w:after="0"/>
              <w:rPr>
                <w:sz w:val="20"/>
                <w:szCs w:val="20"/>
                <w:color w:val="auto"/>
              </w:rPr>
            </w:pP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44</w:t>
            </w: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.48</w:t>
            </w:r>
          </w:p>
        </w:tc>
      </w:tr>
      <w:tr>
        <w:trPr>
          <w:trHeight w:val="251"/>
        </w:trPr>
        <w:tc>
          <w:tcPr>
            <w:tcW w:w="4800" w:type="dxa"/>
            <w:vAlign w:val="bottom"/>
            <w:shd w:val="clear" w:color="auto" w:fill="C0C0C0"/>
          </w:tcPr>
          <w:p>
            <w:pPr>
              <w:ind w:left="280"/>
              <w:spacing w:after="0"/>
              <w:rPr>
                <w:sz w:val="20"/>
                <w:szCs w:val="20"/>
                <w:color w:val="auto"/>
              </w:rPr>
            </w:pPr>
            <w:r>
              <w:rPr>
                <w:rFonts w:ascii="Arial" w:cs="Arial" w:eastAsia="Arial" w:hAnsi="Arial"/>
                <w:sz w:val="18"/>
                <w:szCs w:val="18"/>
                <w:color w:val="auto"/>
              </w:rPr>
              <w:t>Time deposits &gt;= $100</w:t>
            </w:r>
          </w:p>
        </w:tc>
        <w:tc>
          <w:tcPr>
            <w:tcW w:w="18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23,112</w:t>
            </w:r>
          </w:p>
        </w:tc>
        <w:tc>
          <w:tcPr>
            <w:tcW w:w="240" w:type="dxa"/>
            <w:vAlign w:val="bottom"/>
            <w:shd w:val="clear" w:color="auto" w:fill="C0C0C0"/>
          </w:tcPr>
          <w:p>
            <w:pPr>
              <w:spacing w:after="0"/>
              <w:rPr>
                <w:sz w:val="21"/>
                <w:szCs w:val="21"/>
                <w:color w:val="auto"/>
              </w:rPr>
            </w:pPr>
          </w:p>
        </w:tc>
        <w:tc>
          <w:tcPr>
            <w:tcW w:w="96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127</w:t>
            </w:r>
          </w:p>
        </w:tc>
        <w:tc>
          <w:tcPr>
            <w:tcW w:w="76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1.11</w:t>
            </w:r>
          </w:p>
        </w:tc>
        <w:tc>
          <w:tcPr>
            <w:tcW w:w="2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06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22,520</w:t>
            </w:r>
          </w:p>
        </w:tc>
        <w:tc>
          <w:tcPr>
            <w:tcW w:w="24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133</w:t>
            </w:r>
          </w:p>
        </w:tc>
        <w:tc>
          <w:tcPr>
            <w:tcW w:w="7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1.19</w:t>
            </w:r>
          </w:p>
        </w:tc>
      </w:tr>
      <w:tr>
        <w:trPr>
          <w:trHeight w:val="237"/>
        </w:trPr>
        <w:tc>
          <w:tcPr>
            <w:tcW w:w="480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Other time deposits</w:t>
            </w: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32,478</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121</w:t>
            </w:r>
          </w:p>
        </w:tc>
        <w:tc>
          <w:tcPr>
            <w:tcW w:w="7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.75</w:t>
            </w: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38,698</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145</w:t>
            </w:r>
          </w:p>
        </w:tc>
        <w:tc>
          <w:tcPr>
            <w:tcW w:w="7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.75</w:t>
            </w:r>
          </w:p>
        </w:tc>
      </w:tr>
      <w:tr>
        <w:trPr>
          <w:trHeight w:val="243"/>
        </w:trPr>
        <w:tc>
          <w:tcPr>
            <w:tcW w:w="4800" w:type="dxa"/>
            <w:vAlign w:val="bottom"/>
            <w:shd w:val="clear" w:color="auto" w:fill="C0C0C0"/>
          </w:tcPr>
          <w:p>
            <w:pPr>
              <w:spacing w:after="0"/>
              <w:rPr>
                <w:sz w:val="20"/>
                <w:szCs w:val="20"/>
                <w:color w:val="auto"/>
              </w:rPr>
            </w:pPr>
            <w:r>
              <w:rPr>
                <w:rFonts w:ascii="Arial" w:cs="Arial" w:eastAsia="Arial" w:hAnsi="Arial"/>
                <w:sz w:val="18"/>
                <w:szCs w:val="18"/>
                <w:color w:val="auto"/>
              </w:rPr>
              <w:t>Total interest-bearing deposits</w:t>
            </w:r>
          </w:p>
        </w:tc>
        <w:tc>
          <w:tcPr>
            <w:tcW w:w="18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386,372</w:t>
            </w:r>
          </w:p>
        </w:tc>
        <w:tc>
          <w:tcPr>
            <w:tcW w:w="240" w:type="dxa"/>
            <w:vAlign w:val="bottom"/>
            <w:shd w:val="clear" w:color="auto" w:fill="C0C0C0"/>
          </w:tcPr>
          <w:p>
            <w:pPr>
              <w:spacing w:after="0"/>
              <w:rPr>
                <w:sz w:val="21"/>
                <w:szCs w:val="21"/>
                <w:color w:val="auto"/>
              </w:rPr>
            </w:pPr>
          </w:p>
        </w:tc>
        <w:tc>
          <w:tcPr>
            <w:tcW w:w="96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950</w:t>
            </w:r>
          </w:p>
        </w:tc>
        <w:tc>
          <w:tcPr>
            <w:tcW w:w="76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.50</w:t>
            </w:r>
          </w:p>
        </w:tc>
        <w:tc>
          <w:tcPr>
            <w:tcW w:w="2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06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425,834</w:t>
            </w:r>
          </w:p>
        </w:tc>
        <w:tc>
          <w:tcPr>
            <w:tcW w:w="24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1,017</w:t>
            </w:r>
          </w:p>
        </w:tc>
        <w:tc>
          <w:tcPr>
            <w:tcW w:w="7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.48</w:t>
            </w:r>
          </w:p>
        </w:tc>
      </w:tr>
      <w:tr>
        <w:trPr>
          <w:trHeight w:val="235"/>
        </w:trPr>
        <w:tc>
          <w:tcPr>
            <w:tcW w:w="4800" w:type="dxa"/>
            <w:vAlign w:val="bottom"/>
          </w:tcPr>
          <w:p>
            <w:pPr>
              <w:spacing w:after="0"/>
              <w:rPr>
                <w:sz w:val="20"/>
                <w:szCs w:val="20"/>
                <w:color w:val="auto"/>
              </w:rPr>
            </w:pPr>
            <w:r>
              <w:rPr>
                <w:rFonts w:ascii="Arial" w:cs="Arial" w:eastAsia="Arial" w:hAnsi="Arial"/>
                <w:sz w:val="18"/>
                <w:szCs w:val="18"/>
                <w:color w:val="auto"/>
              </w:rPr>
              <w:t>Non-interest bearing liabilities</w:t>
            </w: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51"/>
        </w:trPr>
        <w:tc>
          <w:tcPr>
            <w:tcW w:w="4800" w:type="dxa"/>
            <w:vAlign w:val="bottom"/>
            <w:shd w:val="clear" w:color="auto" w:fill="C0C0C0"/>
          </w:tcPr>
          <w:p>
            <w:pPr>
              <w:ind w:left="280"/>
              <w:spacing w:after="0"/>
              <w:rPr>
                <w:sz w:val="20"/>
                <w:szCs w:val="20"/>
                <w:color w:val="auto"/>
              </w:rPr>
            </w:pPr>
            <w:r>
              <w:rPr>
                <w:rFonts w:ascii="Arial" w:cs="Arial" w:eastAsia="Arial" w:hAnsi="Arial"/>
                <w:sz w:val="18"/>
                <w:szCs w:val="18"/>
                <w:color w:val="auto"/>
              </w:rPr>
              <w:t>Demand deposits</w:t>
            </w:r>
          </w:p>
        </w:tc>
        <w:tc>
          <w:tcPr>
            <w:tcW w:w="180" w:type="dxa"/>
            <w:vAlign w:val="bottom"/>
            <w:shd w:val="clear" w:color="auto" w:fill="C0C0C0"/>
          </w:tcPr>
          <w:p>
            <w:pPr>
              <w:spacing w:after="0"/>
              <w:rPr>
                <w:sz w:val="21"/>
                <w:szCs w:val="21"/>
                <w:color w:val="auto"/>
              </w:rPr>
            </w:pPr>
          </w:p>
        </w:tc>
        <w:tc>
          <w:tcPr>
            <w:tcW w:w="104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203,451</w:t>
            </w:r>
          </w:p>
        </w:tc>
        <w:tc>
          <w:tcPr>
            <w:tcW w:w="240" w:type="dxa"/>
            <w:vAlign w:val="bottom"/>
            <w:shd w:val="clear" w:color="auto" w:fill="C0C0C0"/>
          </w:tcPr>
          <w:p>
            <w:pPr>
              <w:spacing w:after="0"/>
              <w:rPr>
                <w:sz w:val="21"/>
                <w:szCs w:val="21"/>
                <w:color w:val="auto"/>
              </w:rPr>
            </w:pPr>
          </w:p>
        </w:tc>
        <w:tc>
          <w:tcPr>
            <w:tcW w:w="960" w:type="dxa"/>
            <w:vAlign w:val="bottom"/>
            <w:shd w:val="clear" w:color="auto" w:fill="C0C0C0"/>
          </w:tcPr>
          <w:p>
            <w:pPr>
              <w:spacing w:after="0"/>
              <w:rPr>
                <w:sz w:val="21"/>
                <w:szCs w:val="21"/>
                <w:color w:val="auto"/>
              </w:rPr>
            </w:pPr>
          </w:p>
        </w:tc>
        <w:tc>
          <w:tcPr>
            <w:tcW w:w="7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06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184,129</w:t>
            </w:r>
          </w:p>
        </w:tc>
        <w:tc>
          <w:tcPr>
            <w:tcW w:w="240" w:type="dxa"/>
            <w:vAlign w:val="bottom"/>
            <w:shd w:val="clear" w:color="auto" w:fill="C0C0C0"/>
          </w:tcPr>
          <w:p>
            <w:pPr>
              <w:spacing w:after="0"/>
              <w:rPr>
                <w:sz w:val="21"/>
                <w:szCs w:val="21"/>
                <w:color w:val="auto"/>
              </w:rPr>
            </w:pPr>
          </w:p>
        </w:tc>
        <w:tc>
          <w:tcPr>
            <w:tcW w:w="940" w:type="dxa"/>
            <w:vAlign w:val="bottom"/>
            <w:shd w:val="clear" w:color="auto" w:fill="C0C0C0"/>
          </w:tcPr>
          <w:p>
            <w:pPr>
              <w:spacing w:after="0"/>
              <w:rPr>
                <w:sz w:val="21"/>
                <w:szCs w:val="21"/>
                <w:color w:val="auto"/>
              </w:rPr>
            </w:pPr>
          </w:p>
        </w:tc>
        <w:tc>
          <w:tcPr>
            <w:tcW w:w="760" w:type="dxa"/>
            <w:vAlign w:val="bottom"/>
            <w:shd w:val="clear" w:color="auto" w:fill="C0C0C0"/>
          </w:tcPr>
          <w:p>
            <w:pPr>
              <w:spacing w:after="0"/>
              <w:rPr>
                <w:sz w:val="21"/>
                <w:szCs w:val="21"/>
                <w:color w:val="auto"/>
              </w:rPr>
            </w:pPr>
          </w:p>
        </w:tc>
      </w:tr>
      <w:tr>
        <w:trPr>
          <w:trHeight w:val="235"/>
        </w:trPr>
        <w:tc>
          <w:tcPr>
            <w:tcW w:w="4800" w:type="dxa"/>
            <w:vAlign w:val="bottom"/>
          </w:tcPr>
          <w:p>
            <w:pPr>
              <w:ind w:left="280"/>
              <w:spacing w:after="0"/>
              <w:rPr>
                <w:sz w:val="20"/>
                <w:szCs w:val="20"/>
                <w:color w:val="auto"/>
              </w:rPr>
            </w:pPr>
            <w:r>
              <w:rPr>
                <w:rFonts w:ascii="Arial" w:cs="Arial" w:eastAsia="Arial" w:hAnsi="Arial"/>
                <w:sz w:val="18"/>
                <w:szCs w:val="18"/>
                <w:color w:val="auto"/>
              </w:rPr>
              <w:t>Accounts and drafts payable</w:t>
            </w:r>
          </w:p>
        </w:tc>
        <w:tc>
          <w:tcPr>
            <w:tcW w:w="180" w:type="dxa"/>
            <w:vAlign w:val="bottom"/>
          </w:tcPr>
          <w:p>
            <w:pPr>
              <w:spacing w:after="0"/>
              <w:rPr>
                <w:sz w:val="20"/>
                <w:szCs w:val="20"/>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685,929</w:t>
            </w: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626,508</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44"/>
        </w:trPr>
        <w:tc>
          <w:tcPr>
            <w:tcW w:w="4800" w:type="dxa"/>
            <w:vAlign w:val="bottom"/>
            <w:tcBorders>
              <w:bottom w:val="single" w:sz="8" w:color="auto"/>
            </w:tcBorders>
            <w:shd w:val="clear" w:color="auto" w:fill="C0C0C0"/>
          </w:tcPr>
          <w:p>
            <w:pPr>
              <w:ind w:left="280"/>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auto"/>
            </w:tcBorders>
            <w:shd w:val="clear" w:color="auto" w:fill="C0C0C0"/>
          </w:tcPr>
          <w:p>
            <w:pPr>
              <w:spacing w:after="0"/>
              <w:rPr>
                <w:sz w:val="21"/>
                <w:szCs w:val="21"/>
                <w:color w:val="auto"/>
              </w:rPr>
            </w:pPr>
          </w:p>
        </w:tc>
        <w:tc>
          <w:tcPr>
            <w:tcW w:w="1040" w:type="dxa"/>
            <w:vAlign w:val="bottom"/>
            <w:tcBorders>
              <w:bottom w:val="single" w:sz="8" w:color="auto"/>
            </w:tcBorders>
            <w:shd w:val="clear" w:color="auto" w:fill="C0C0C0"/>
          </w:tcPr>
          <w:p>
            <w:pPr>
              <w:jc w:val="right"/>
              <w:ind w:right="112"/>
              <w:spacing w:after="0"/>
              <w:rPr>
                <w:sz w:val="20"/>
                <w:szCs w:val="20"/>
                <w:color w:val="auto"/>
              </w:rPr>
            </w:pPr>
            <w:r>
              <w:rPr>
                <w:rFonts w:ascii="Arial" w:cs="Arial" w:eastAsia="Arial" w:hAnsi="Arial"/>
                <w:sz w:val="18"/>
                <w:szCs w:val="18"/>
                <w:color w:val="auto"/>
              </w:rPr>
              <w:t>33,550</w:t>
            </w:r>
          </w:p>
        </w:tc>
        <w:tc>
          <w:tcPr>
            <w:tcW w:w="240" w:type="dxa"/>
            <w:vAlign w:val="bottom"/>
            <w:tcBorders>
              <w:bottom w:val="single" w:sz="8" w:color="auto"/>
            </w:tcBorders>
            <w:shd w:val="clear" w:color="auto" w:fill="C0C0C0"/>
          </w:tcPr>
          <w:p>
            <w:pPr>
              <w:spacing w:after="0"/>
              <w:rPr>
                <w:sz w:val="21"/>
                <w:szCs w:val="21"/>
                <w:color w:val="auto"/>
              </w:rPr>
            </w:pPr>
          </w:p>
        </w:tc>
        <w:tc>
          <w:tcPr>
            <w:tcW w:w="960" w:type="dxa"/>
            <w:vAlign w:val="bottom"/>
            <w:tcBorders>
              <w:bottom w:val="single" w:sz="8" w:color="auto"/>
            </w:tcBorders>
            <w:shd w:val="clear" w:color="auto" w:fill="C0C0C0"/>
          </w:tcPr>
          <w:p>
            <w:pPr>
              <w:spacing w:after="0"/>
              <w:rPr>
                <w:sz w:val="21"/>
                <w:szCs w:val="21"/>
                <w:color w:val="auto"/>
              </w:rPr>
            </w:pPr>
          </w:p>
        </w:tc>
        <w:tc>
          <w:tcPr>
            <w:tcW w:w="760" w:type="dxa"/>
            <w:vAlign w:val="bottom"/>
            <w:tcBorders>
              <w:bottom w:val="single" w:sz="8" w:color="auto"/>
            </w:tcBorders>
            <w:shd w:val="clear" w:color="auto" w:fill="C0C0C0"/>
          </w:tcPr>
          <w:p>
            <w:pPr>
              <w:spacing w:after="0"/>
              <w:rPr>
                <w:sz w:val="21"/>
                <w:szCs w:val="21"/>
                <w:color w:val="auto"/>
              </w:rPr>
            </w:pPr>
          </w:p>
        </w:tc>
        <w:tc>
          <w:tcPr>
            <w:tcW w:w="260" w:type="dxa"/>
            <w:vAlign w:val="bottom"/>
            <w:tcBorders>
              <w:bottom w:val="single" w:sz="8" w:color="auto"/>
            </w:tcBorders>
            <w:shd w:val="clear" w:color="auto" w:fill="C0C0C0"/>
          </w:tcPr>
          <w:p>
            <w:pPr>
              <w:spacing w:after="0"/>
              <w:rPr>
                <w:sz w:val="21"/>
                <w:szCs w:val="21"/>
                <w:color w:val="auto"/>
              </w:rPr>
            </w:pPr>
          </w:p>
        </w:tc>
        <w:tc>
          <w:tcPr>
            <w:tcW w:w="180" w:type="dxa"/>
            <w:vAlign w:val="bottom"/>
            <w:tcBorders>
              <w:bottom w:val="single" w:sz="8" w:color="auto"/>
            </w:tcBorders>
            <w:shd w:val="clear" w:color="auto" w:fill="C0C0C0"/>
          </w:tcPr>
          <w:p>
            <w:pPr>
              <w:spacing w:after="0"/>
              <w:rPr>
                <w:sz w:val="21"/>
                <w:szCs w:val="21"/>
                <w:color w:val="auto"/>
              </w:rPr>
            </w:pPr>
          </w:p>
        </w:tc>
        <w:tc>
          <w:tcPr>
            <w:tcW w:w="106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25,468</w:t>
            </w:r>
          </w:p>
        </w:tc>
        <w:tc>
          <w:tcPr>
            <w:tcW w:w="240" w:type="dxa"/>
            <w:vAlign w:val="bottom"/>
            <w:tcBorders>
              <w:bottom w:val="single" w:sz="8" w:color="auto"/>
            </w:tcBorders>
            <w:shd w:val="clear" w:color="auto" w:fill="C0C0C0"/>
          </w:tcPr>
          <w:p>
            <w:pPr>
              <w:spacing w:after="0"/>
              <w:rPr>
                <w:sz w:val="21"/>
                <w:szCs w:val="21"/>
                <w:color w:val="auto"/>
              </w:rPr>
            </w:pPr>
          </w:p>
        </w:tc>
        <w:tc>
          <w:tcPr>
            <w:tcW w:w="940" w:type="dxa"/>
            <w:vAlign w:val="bottom"/>
            <w:tcBorders>
              <w:bottom w:val="single" w:sz="8" w:color="auto"/>
            </w:tcBorders>
            <w:shd w:val="clear" w:color="auto" w:fill="C0C0C0"/>
          </w:tcPr>
          <w:p>
            <w:pPr>
              <w:spacing w:after="0"/>
              <w:rPr>
                <w:sz w:val="21"/>
                <w:szCs w:val="21"/>
                <w:color w:val="auto"/>
              </w:rPr>
            </w:pPr>
          </w:p>
        </w:tc>
        <w:tc>
          <w:tcPr>
            <w:tcW w:w="760" w:type="dxa"/>
            <w:vAlign w:val="bottom"/>
            <w:tcBorders>
              <w:bottom w:val="single" w:sz="8" w:color="auto"/>
            </w:tcBorders>
            <w:shd w:val="clear" w:color="auto" w:fill="C0C0C0"/>
          </w:tcPr>
          <w:p>
            <w:pPr>
              <w:spacing w:after="0"/>
              <w:rPr>
                <w:sz w:val="21"/>
                <w:szCs w:val="21"/>
                <w:color w:val="auto"/>
              </w:rPr>
            </w:pPr>
          </w:p>
        </w:tc>
      </w:tr>
      <w:tr>
        <w:trPr>
          <w:trHeight w:val="235"/>
        </w:trPr>
        <w:tc>
          <w:tcPr>
            <w:tcW w:w="4800" w:type="dxa"/>
            <w:vAlign w:val="bottom"/>
          </w:tcPr>
          <w:p>
            <w:pPr>
              <w:spacing w:after="0"/>
              <w:rPr>
                <w:sz w:val="20"/>
                <w:szCs w:val="20"/>
                <w:color w:val="auto"/>
              </w:rPr>
            </w:pPr>
            <w:r>
              <w:rPr>
                <w:rFonts w:ascii="Arial" w:cs="Arial" w:eastAsia="Arial" w:hAnsi="Arial"/>
                <w:sz w:val="18"/>
                <w:szCs w:val="18"/>
                <w:color w:val="auto"/>
              </w:rPr>
              <w:t>Total liabilities</w:t>
            </w:r>
          </w:p>
        </w:tc>
        <w:tc>
          <w:tcPr>
            <w:tcW w:w="180" w:type="dxa"/>
            <w:vAlign w:val="bottom"/>
          </w:tcPr>
          <w:p>
            <w:pPr>
              <w:spacing w:after="0"/>
              <w:rPr>
                <w:sz w:val="20"/>
                <w:szCs w:val="20"/>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1,309,302</w:t>
            </w: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1,261,939</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44"/>
        </w:trPr>
        <w:tc>
          <w:tcPr>
            <w:tcW w:w="480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Shareholders’ equity</w:t>
            </w:r>
          </w:p>
        </w:tc>
        <w:tc>
          <w:tcPr>
            <w:tcW w:w="180" w:type="dxa"/>
            <w:vAlign w:val="bottom"/>
            <w:tcBorders>
              <w:bottom w:val="single" w:sz="8" w:color="auto"/>
            </w:tcBorders>
            <w:shd w:val="clear" w:color="auto" w:fill="C0C0C0"/>
          </w:tcPr>
          <w:p>
            <w:pPr>
              <w:spacing w:after="0"/>
              <w:rPr>
                <w:sz w:val="21"/>
                <w:szCs w:val="21"/>
                <w:color w:val="auto"/>
              </w:rPr>
            </w:pPr>
          </w:p>
        </w:tc>
        <w:tc>
          <w:tcPr>
            <w:tcW w:w="1040" w:type="dxa"/>
            <w:vAlign w:val="bottom"/>
            <w:tcBorders>
              <w:bottom w:val="single" w:sz="8" w:color="auto"/>
            </w:tcBorders>
            <w:shd w:val="clear" w:color="auto" w:fill="C0C0C0"/>
          </w:tcPr>
          <w:p>
            <w:pPr>
              <w:jc w:val="right"/>
              <w:ind w:right="112"/>
              <w:spacing w:after="0"/>
              <w:rPr>
                <w:sz w:val="20"/>
                <w:szCs w:val="20"/>
                <w:color w:val="auto"/>
              </w:rPr>
            </w:pPr>
            <w:r>
              <w:rPr>
                <w:rFonts w:ascii="Arial" w:cs="Arial" w:eastAsia="Arial" w:hAnsi="Arial"/>
                <w:sz w:val="18"/>
                <w:szCs w:val="18"/>
                <w:color w:val="auto"/>
              </w:rPr>
              <w:t>211,186</w:t>
            </w:r>
          </w:p>
        </w:tc>
        <w:tc>
          <w:tcPr>
            <w:tcW w:w="240" w:type="dxa"/>
            <w:vAlign w:val="bottom"/>
            <w:tcBorders>
              <w:bottom w:val="single" w:sz="8" w:color="auto"/>
            </w:tcBorders>
            <w:shd w:val="clear" w:color="auto" w:fill="C0C0C0"/>
          </w:tcPr>
          <w:p>
            <w:pPr>
              <w:spacing w:after="0"/>
              <w:rPr>
                <w:sz w:val="21"/>
                <w:szCs w:val="21"/>
                <w:color w:val="auto"/>
              </w:rPr>
            </w:pPr>
          </w:p>
        </w:tc>
        <w:tc>
          <w:tcPr>
            <w:tcW w:w="960" w:type="dxa"/>
            <w:vAlign w:val="bottom"/>
            <w:tcBorders>
              <w:bottom w:val="single" w:sz="8" w:color="auto"/>
            </w:tcBorders>
            <w:shd w:val="clear" w:color="auto" w:fill="C0C0C0"/>
          </w:tcPr>
          <w:p>
            <w:pPr>
              <w:spacing w:after="0"/>
              <w:rPr>
                <w:sz w:val="21"/>
                <w:szCs w:val="21"/>
                <w:color w:val="auto"/>
              </w:rPr>
            </w:pPr>
          </w:p>
        </w:tc>
        <w:tc>
          <w:tcPr>
            <w:tcW w:w="760" w:type="dxa"/>
            <w:vAlign w:val="bottom"/>
            <w:tcBorders>
              <w:bottom w:val="single" w:sz="8" w:color="auto"/>
            </w:tcBorders>
            <w:shd w:val="clear" w:color="auto" w:fill="C0C0C0"/>
          </w:tcPr>
          <w:p>
            <w:pPr>
              <w:spacing w:after="0"/>
              <w:rPr>
                <w:sz w:val="21"/>
                <w:szCs w:val="21"/>
                <w:color w:val="auto"/>
              </w:rPr>
            </w:pPr>
          </w:p>
        </w:tc>
        <w:tc>
          <w:tcPr>
            <w:tcW w:w="260" w:type="dxa"/>
            <w:vAlign w:val="bottom"/>
            <w:tcBorders>
              <w:bottom w:val="single" w:sz="8" w:color="auto"/>
            </w:tcBorders>
            <w:shd w:val="clear" w:color="auto" w:fill="C0C0C0"/>
          </w:tcPr>
          <w:p>
            <w:pPr>
              <w:spacing w:after="0"/>
              <w:rPr>
                <w:sz w:val="21"/>
                <w:szCs w:val="21"/>
                <w:color w:val="auto"/>
              </w:rPr>
            </w:pPr>
          </w:p>
        </w:tc>
        <w:tc>
          <w:tcPr>
            <w:tcW w:w="180" w:type="dxa"/>
            <w:vAlign w:val="bottom"/>
            <w:tcBorders>
              <w:bottom w:val="single" w:sz="8" w:color="auto"/>
            </w:tcBorders>
            <w:shd w:val="clear" w:color="auto" w:fill="C0C0C0"/>
          </w:tcPr>
          <w:p>
            <w:pPr>
              <w:spacing w:after="0"/>
              <w:rPr>
                <w:sz w:val="21"/>
                <w:szCs w:val="21"/>
                <w:color w:val="auto"/>
              </w:rPr>
            </w:pPr>
          </w:p>
        </w:tc>
        <w:tc>
          <w:tcPr>
            <w:tcW w:w="106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206,189</w:t>
            </w:r>
          </w:p>
        </w:tc>
        <w:tc>
          <w:tcPr>
            <w:tcW w:w="240" w:type="dxa"/>
            <w:vAlign w:val="bottom"/>
            <w:tcBorders>
              <w:bottom w:val="single" w:sz="8" w:color="auto"/>
            </w:tcBorders>
            <w:shd w:val="clear" w:color="auto" w:fill="C0C0C0"/>
          </w:tcPr>
          <w:p>
            <w:pPr>
              <w:spacing w:after="0"/>
              <w:rPr>
                <w:sz w:val="21"/>
                <w:szCs w:val="21"/>
                <w:color w:val="auto"/>
              </w:rPr>
            </w:pPr>
          </w:p>
        </w:tc>
        <w:tc>
          <w:tcPr>
            <w:tcW w:w="940" w:type="dxa"/>
            <w:vAlign w:val="bottom"/>
            <w:tcBorders>
              <w:bottom w:val="single" w:sz="8" w:color="auto"/>
            </w:tcBorders>
            <w:shd w:val="clear" w:color="auto" w:fill="C0C0C0"/>
          </w:tcPr>
          <w:p>
            <w:pPr>
              <w:spacing w:after="0"/>
              <w:rPr>
                <w:sz w:val="21"/>
                <w:szCs w:val="21"/>
                <w:color w:val="auto"/>
              </w:rPr>
            </w:pPr>
          </w:p>
        </w:tc>
        <w:tc>
          <w:tcPr>
            <w:tcW w:w="760" w:type="dxa"/>
            <w:vAlign w:val="bottom"/>
            <w:tcBorders>
              <w:bottom w:val="single" w:sz="8" w:color="auto"/>
            </w:tcBorders>
            <w:shd w:val="clear" w:color="auto" w:fill="C0C0C0"/>
          </w:tcPr>
          <w:p>
            <w:pPr>
              <w:spacing w:after="0"/>
              <w:rPr>
                <w:sz w:val="21"/>
                <w:szCs w:val="21"/>
                <w:color w:val="auto"/>
              </w:rPr>
            </w:pPr>
          </w:p>
        </w:tc>
      </w:tr>
      <w:tr>
        <w:trPr>
          <w:trHeight w:val="237"/>
        </w:trPr>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liabilities and shareholders’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1,520,488</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1,468,128</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r>
      <w:tr>
        <w:trPr>
          <w:trHeight w:val="243"/>
        </w:trPr>
        <w:tc>
          <w:tcPr>
            <w:tcW w:w="4800" w:type="dxa"/>
            <w:vAlign w:val="bottom"/>
            <w:shd w:val="clear" w:color="auto" w:fill="C0C0C0"/>
          </w:tcPr>
          <w:p>
            <w:pPr>
              <w:spacing w:after="0"/>
              <w:rPr>
                <w:sz w:val="20"/>
                <w:szCs w:val="20"/>
                <w:color w:val="auto"/>
              </w:rPr>
            </w:pPr>
            <w:r>
              <w:rPr>
                <w:rFonts w:ascii="Arial" w:cs="Arial" w:eastAsia="Arial" w:hAnsi="Arial"/>
                <w:sz w:val="18"/>
                <w:szCs w:val="18"/>
                <w:color w:val="auto"/>
              </w:rPr>
              <w:t>Net interest income</w:t>
            </w:r>
          </w:p>
        </w:tc>
        <w:tc>
          <w:tcPr>
            <w:tcW w:w="180" w:type="dxa"/>
            <w:vAlign w:val="bottom"/>
            <w:shd w:val="clear" w:color="auto" w:fill="C0C0C0"/>
          </w:tcPr>
          <w:p>
            <w:pPr>
              <w:spacing w:after="0"/>
              <w:rPr>
                <w:sz w:val="21"/>
                <w:szCs w:val="21"/>
                <w:color w:val="auto"/>
              </w:rPr>
            </w:pPr>
          </w:p>
        </w:tc>
        <w:tc>
          <w:tcPr>
            <w:tcW w:w="1040" w:type="dxa"/>
            <w:vAlign w:val="bottom"/>
            <w:shd w:val="clear" w:color="auto" w:fill="C0C0C0"/>
          </w:tcPr>
          <w:p>
            <w:pPr>
              <w:spacing w:after="0"/>
              <w:rPr>
                <w:sz w:val="21"/>
                <w:szCs w:val="21"/>
                <w:color w:val="auto"/>
              </w:rPr>
            </w:pPr>
          </w:p>
        </w:tc>
        <w:tc>
          <w:tcPr>
            <w:tcW w:w="2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22,252</w:t>
            </w:r>
          </w:p>
        </w:tc>
        <w:tc>
          <w:tcPr>
            <w:tcW w:w="7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060" w:type="dxa"/>
            <w:vAlign w:val="bottom"/>
            <w:shd w:val="clear" w:color="auto" w:fill="C0C0C0"/>
          </w:tcPr>
          <w:p>
            <w:pPr>
              <w:spacing w:after="0"/>
              <w:rPr>
                <w:sz w:val="21"/>
                <w:szCs w:val="21"/>
                <w:color w:val="auto"/>
              </w:rPr>
            </w:pPr>
          </w:p>
        </w:tc>
        <w:tc>
          <w:tcPr>
            <w:tcW w:w="2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21,528</w:t>
            </w:r>
          </w:p>
        </w:tc>
        <w:tc>
          <w:tcPr>
            <w:tcW w:w="760" w:type="dxa"/>
            <w:vAlign w:val="bottom"/>
            <w:shd w:val="clear" w:color="auto" w:fill="C0C0C0"/>
          </w:tcPr>
          <w:p>
            <w:pPr>
              <w:spacing w:after="0"/>
              <w:rPr>
                <w:sz w:val="21"/>
                <w:szCs w:val="21"/>
                <w:color w:val="auto"/>
              </w:rPr>
            </w:pPr>
          </w:p>
        </w:tc>
      </w:tr>
      <w:tr>
        <w:trPr>
          <w:trHeight w:val="235"/>
        </w:trPr>
        <w:tc>
          <w:tcPr>
            <w:tcW w:w="4800" w:type="dxa"/>
            <w:vAlign w:val="bottom"/>
          </w:tcPr>
          <w:p>
            <w:pPr>
              <w:spacing w:after="0"/>
              <w:rPr>
                <w:sz w:val="20"/>
                <w:szCs w:val="20"/>
                <w:color w:val="auto"/>
              </w:rPr>
            </w:pPr>
            <w:r>
              <w:rPr>
                <w:rFonts w:ascii="Arial" w:cs="Arial" w:eastAsia="Arial" w:hAnsi="Arial"/>
                <w:sz w:val="18"/>
                <w:szCs w:val="18"/>
                <w:color w:val="auto"/>
              </w:rPr>
              <w:t>Net interest margin</w:t>
            </w: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3.39%</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3.39%</w:t>
            </w:r>
          </w:p>
        </w:tc>
      </w:tr>
      <w:tr>
        <w:trPr>
          <w:trHeight w:val="244"/>
        </w:trPr>
        <w:tc>
          <w:tcPr>
            <w:tcW w:w="480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Interest spread</w:t>
            </w:r>
          </w:p>
        </w:tc>
        <w:tc>
          <w:tcPr>
            <w:tcW w:w="180" w:type="dxa"/>
            <w:vAlign w:val="bottom"/>
            <w:tcBorders>
              <w:bottom w:val="single" w:sz="8" w:color="auto"/>
            </w:tcBorders>
            <w:shd w:val="clear" w:color="auto" w:fill="C0C0C0"/>
          </w:tcPr>
          <w:p>
            <w:pPr>
              <w:spacing w:after="0"/>
              <w:rPr>
                <w:sz w:val="21"/>
                <w:szCs w:val="21"/>
                <w:color w:val="auto"/>
              </w:rPr>
            </w:pPr>
          </w:p>
        </w:tc>
        <w:tc>
          <w:tcPr>
            <w:tcW w:w="1040" w:type="dxa"/>
            <w:vAlign w:val="bottom"/>
            <w:tcBorders>
              <w:bottom w:val="single" w:sz="8" w:color="auto"/>
            </w:tcBorders>
            <w:shd w:val="clear" w:color="auto" w:fill="C0C0C0"/>
          </w:tcPr>
          <w:p>
            <w:pPr>
              <w:spacing w:after="0"/>
              <w:rPr>
                <w:sz w:val="21"/>
                <w:szCs w:val="21"/>
                <w:color w:val="auto"/>
              </w:rPr>
            </w:pPr>
          </w:p>
        </w:tc>
        <w:tc>
          <w:tcPr>
            <w:tcW w:w="240" w:type="dxa"/>
            <w:vAlign w:val="bottom"/>
            <w:tcBorders>
              <w:bottom w:val="single" w:sz="8" w:color="auto"/>
            </w:tcBorders>
            <w:shd w:val="clear" w:color="auto" w:fill="C0C0C0"/>
          </w:tcPr>
          <w:p>
            <w:pPr>
              <w:spacing w:after="0"/>
              <w:rPr>
                <w:sz w:val="21"/>
                <w:szCs w:val="21"/>
                <w:color w:val="auto"/>
              </w:rPr>
            </w:pPr>
          </w:p>
        </w:tc>
        <w:tc>
          <w:tcPr>
            <w:tcW w:w="960" w:type="dxa"/>
            <w:vAlign w:val="bottom"/>
            <w:tcBorders>
              <w:bottom w:val="single" w:sz="8" w:color="auto"/>
            </w:tcBorders>
            <w:shd w:val="clear" w:color="auto" w:fill="C0C0C0"/>
          </w:tcPr>
          <w:p>
            <w:pPr>
              <w:spacing w:after="0"/>
              <w:rPr>
                <w:sz w:val="21"/>
                <w:szCs w:val="21"/>
                <w:color w:val="auto"/>
              </w:rPr>
            </w:pPr>
          </w:p>
        </w:tc>
        <w:tc>
          <w:tcPr>
            <w:tcW w:w="760" w:type="dxa"/>
            <w:vAlign w:val="bottom"/>
            <w:tcBorders>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rPr>
              <w:t>3.03</w:t>
            </w:r>
          </w:p>
        </w:tc>
        <w:tc>
          <w:tcPr>
            <w:tcW w:w="260" w:type="dxa"/>
            <w:vAlign w:val="bottom"/>
            <w:tcBorders>
              <w:bottom w:val="single" w:sz="8" w:color="auto"/>
            </w:tcBorders>
            <w:shd w:val="clear" w:color="auto" w:fill="C0C0C0"/>
          </w:tcPr>
          <w:p>
            <w:pPr>
              <w:spacing w:after="0"/>
              <w:rPr>
                <w:sz w:val="21"/>
                <w:szCs w:val="21"/>
                <w:color w:val="auto"/>
              </w:rPr>
            </w:pPr>
          </w:p>
        </w:tc>
        <w:tc>
          <w:tcPr>
            <w:tcW w:w="180" w:type="dxa"/>
            <w:vAlign w:val="bottom"/>
            <w:tcBorders>
              <w:bottom w:val="single" w:sz="8" w:color="auto"/>
            </w:tcBorders>
            <w:shd w:val="clear" w:color="auto" w:fill="C0C0C0"/>
          </w:tcPr>
          <w:p>
            <w:pPr>
              <w:spacing w:after="0"/>
              <w:rPr>
                <w:sz w:val="21"/>
                <w:szCs w:val="21"/>
                <w:color w:val="auto"/>
              </w:rPr>
            </w:pPr>
          </w:p>
        </w:tc>
        <w:tc>
          <w:tcPr>
            <w:tcW w:w="1060" w:type="dxa"/>
            <w:vAlign w:val="bottom"/>
            <w:tcBorders>
              <w:bottom w:val="single" w:sz="8" w:color="auto"/>
            </w:tcBorders>
            <w:shd w:val="clear" w:color="auto" w:fill="C0C0C0"/>
          </w:tcPr>
          <w:p>
            <w:pPr>
              <w:spacing w:after="0"/>
              <w:rPr>
                <w:sz w:val="21"/>
                <w:szCs w:val="21"/>
                <w:color w:val="auto"/>
              </w:rPr>
            </w:pPr>
          </w:p>
        </w:tc>
        <w:tc>
          <w:tcPr>
            <w:tcW w:w="240" w:type="dxa"/>
            <w:vAlign w:val="bottom"/>
            <w:tcBorders>
              <w:bottom w:val="single" w:sz="8" w:color="auto"/>
            </w:tcBorders>
            <w:shd w:val="clear" w:color="auto" w:fill="C0C0C0"/>
          </w:tcPr>
          <w:p>
            <w:pPr>
              <w:spacing w:after="0"/>
              <w:rPr>
                <w:sz w:val="21"/>
                <w:szCs w:val="21"/>
                <w:color w:val="auto"/>
              </w:rPr>
            </w:pPr>
          </w:p>
        </w:tc>
        <w:tc>
          <w:tcPr>
            <w:tcW w:w="940" w:type="dxa"/>
            <w:vAlign w:val="bottom"/>
            <w:tcBorders>
              <w:bottom w:val="single" w:sz="8" w:color="auto"/>
            </w:tcBorders>
            <w:shd w:val="clear" w:color="auto" w:fill="C0C0C0"/>
          </w:tcPr>
          <w:p>
            <w:pPr>
              <w:spacing w:after="0"/>
              <w:rPr>
                <w:sz w:val="21"/>
                <w:szCs w:val="21"/>
                <w:color w:val="auto"/>
              </w:rPr>
            </w:pPr>
          </w:p>
        </w:tc>
        <w:tc>
          <w:tcPr>
            <w:tcW w:w="76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3.07</w:t>
            </w:r>
          </w:p>
        </w:tc>
      </w:tr>
    </w:tbl>
    <w:p>
      <w:pPr>
        <w:ind w:left="280" w:hanging="272"/>
        <w:spacing w:after="0" w:line="223" w:lineRule="auto"/>
        <w:tabs>
          <w:tab w:leader="none" w:pos="280" w:val="left"/>
        </w:tabs>
        <w:numPr>
          <w:ilvl w:val="0"/>
          <w:numId w:val="6"/>
        </w:numPr>
        <w:rPr>
          <w:rFonts w:ascii="Arial" w:cs="Arial" w:eastAsia="Arial" w:hAnsi="Arial"/>
          <w:sz w:val="14"/>
          <w:szCs w:val="14"/>
          <w:color w:val="auto"/>
        </w:rPr>
      </w:pPr>
      <w:r>
        <w:rPr>
          <w:rFonts w:ascii="Arial" w:cs="Arial" w:eastAsia="Arial" w:hAnsi="Arial"/>
          <w:sz w:val="14"/>
          <w:szCs w:val="14"/>
          <w:color w:val="auto"/>
        </w:rPr>
        <w:t>Balances shown are daily averages.</w:t>
      </w:r>
    </w:p>
    <w:p>
      <w:pPr>
        <w:ind w:left="280" w:hanging="272"/>
        <w:spacing w:after="0" w:line="221" w:lineRule="auto"/>
        <w:tabs>
          <w:tab w:leader="none" w:pos="280" w:val="left"/>
        </w:tabs>
        <w:numPr>
          <w:ilvl w:val="0"/>
          <w:numId w:val="6"/>
        </w:numPr>
        <w:rPr>
          <w:rFonts w:ascii="Arial" w:cs="Arial" w:eastAsia="Arial" w:hAnsi="Arial"/>
          <w:sz w:val="14"/>
          <w:szCs w:val="14"/>
          <w:color w:val="auto"/>
        </w:rPr>
      </w:pPr>
      <w:r>
        <w:rPr>
          <w:rFonts w:ascii="Arial" w:cs="Arial" w:eastAsia="Arial" w:hAnsi="Arial"/>
          <w:sz w:val="14"/>
          <w:szCs w:val="14"/>
          <w:color w:val="auto"/>
        </w:rPr>
        <w:t>For purposes of these computations, nonaccrual loans are included in the average loan amounts outstanding. Interest on nonaccrual loans is recorded when received as discussed further in Note 1 to the Company’s 2016 consolidated financial statements, filed with the Company’s 2016 Annual Report on Form 10-K.</w:t>
      </w:r>
    </w:p>
    <w:p>
      <w:pPr>
        <w:ind w:left="280" w:hanging="272"/>
        <w:spacing w:after="0" w:line="221" w:lineRule="auto"/>
        <w:tabs>
          <w:tab w:leader="none" w:pos="28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Interest income on loans includes net loan fees of $243,000 and $235,000 for the First Half of 2017 and 2016, respectively.</w:t>
      </w:r>
    </w:p>
    <w:p>
      <w:pPr>
        <w:ind w:left="280" w:hanging="272"/>
        <w:spacing w:after="0" w:line="221" w:lineRule="auto"/>
        <w:tabs>
          <w:tab w:leader="none" w:pos="28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Interest income is presented on a tax-equivalent basis assuming a tax rate of 35%. The tax-equivalent adjustment was approximately $2,871,000 and $2,758,000 for the First Half of 2017 and 2016, respectively.</w:t>
      </w:r>
    </w:p>
    <w:p>
      <w:pPr>
        <w:ind w:left="280" w:hanging="272"/>
        <w:spacing w:after="0"/>
        <w:tabs>
          <w:tab w:leader="none" w:pos="280" w:val="left"/>
        </w:tabs>
        <w:numPr>
          <w:ilvl w:val="0"/>
          <w:numId w:val="6"/>
        </w:numPr>
        <w:rPr>
          <w:rFonts w:ascii="Arial" w:cs="Arial" w:eastAsia="Arial" w:hAnsi="Arial"/>
          <w:sz w:val="14"/>
          <w:szCs w:val="14"/>
          <w:color w:val="auto"/>
        </w:rPr>
      </w:pPr>
      <w:r>
        <w:rPr>
          <w:rFonts w:ascii="Arial" w:cs="Arial" w:eastAsia="Arial" w:hAnsi="Arial"/>
          <w:sz w:val="14"/>
          <w:szCs w:val="14"/>
          <w:color w:val="auto"/>
        </w:rPr>
        <w:t>For purposes of these computations, yields on investment securities are computed as interest income divided by the average amortized cost of the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Analysis of Net Interest Income Changes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tables present the changes in interest income and expense between periods due to changes in volume and interest rates. That portion of the change in interest attributable to the combined rate/volume variance has been allocated to rate and volume changes in proportion to the absolute dollar amounts of the change in each.</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80" w:type="dxa"/>
            <w:vAlign w:val="bottom"/>
            <w:gridSpan w:val="5"/>
          </w:tcPr>
          <w:p>
            <w:pPr>
              <w:jc w:val="center"/>
              <w:spacing w:after="0"/>
              <w:rPr>
                <w:sz w:val="20"/>
                <w:szCs w:val="20"/>
                <w:color w:val="auto"/>
              </w:rPr>
            </w:pPr>
            <w:r>
              <w:rPr>
                <w:rFonts w:ascii="Arial" w:cs="Arial" w:eastAsia="Arial" w:hAnsi="Arial"/>
                <w:sz w:val="18"/>
                <w:szCs w:val="18"/>
                <w:b w:val="1"/>
                <w:bCs w:val="1"/>
                <w:color w:val="auto"/>
                <w:w w:val="88"/>
              </w:rPr>
              <w:t>Second Quarter of 2017 Over</w:t>
            </w:r>
          </w:p>
        </w:tc>
      </w:tr>
      <w:tr>
        <w:trPr>
          <w:trHeight w:val="252"/>
        </w:trPr>
        <w:tc>
          <w:tcPr>
            <w:tcW w:w="866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680" w:type="dxa"/>
            <w:vAlign w:val="bottom"/>
            <w:tcBorders>
              <w:bottom w:val="single" w:sz="8" w:color="auto"/>
            </w:tcBorders>
            <w:gridSpan w:val="5"/>
          </w:tcPr>
          <w:p>
            <w:pPr>
              <w:jc w:val="center"/>
              <w:ind w:right="12"/>
              <w:spacing w:after="0"/>
              <w:rPr>
                <w:sz w:val="20"/>
                <w:szCs w:val="20"/>
                <w:color w:val="auto"/>
              </w:rPr>
            </w:pPr>
            <w:r>
              <w:rPr>
                <w:rFonts w:ascii="Arial" w:cs="Arial" w:eastAsia="Arial" w:hAnsi="Arial"/>
                <w:sz w:val="18"/>
                <w:szCs w:val="18"/>
                <w:b w:val="1"/>
                <w:bCs w:val="1"/>
                <w:color w:val="auto"/>
                <w:w w:val="88"/>
              </w:rPr>
              <w:t>Second Quarter of 2016</w:t>
            </w:r>
          </w:p>
        </w:tc>
      </w:tr>
      <w:tr>
        <w:trPr>
          <w:trHeight w:val="237"/>
        </w:trPr>
        <w:tc>
          <w:tcPr>
            <w:tcW w:w="8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82"/>
              </w:rPr>
              <w:t>Volume</w:t>
            </w:r>
          </w:p>
        </w:tc>
        <w:tc>
          <w:tcPr>
            <w:tcW w:w="3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center"/>
              <w:ind w:right="152"/>
              <w:spacing w:after="0"/>
              <w:rPr>
                <w:sz w:val="20"/>
                <w:szCs w:val="20"/>
                <w:color w:val="auto"/>
              </w:rPr>
            </w:pPr>
            <w:r>
              <w:rPr>
                <w:rFonts w:ascii="Arial" w:cs="Arial" w:eastAsia="Arial" w:hAnsi="Arial"/>
                <w:sz w:val="18"/>
                <w:szCs w:val="18"/>
                <w:b w:val="1"/>
                <w:bCs w:val="1"/>
                <w:color w:val="auto"/>
                <w:w w:val="92"/>
              </w:rPr>
              <w:t>Rate</w:t>
            </w:r>
          </w:p>
        </w:tc>
        <w:tc>
          <w:tcPr>
            <w:tcW w:w="3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2"/>
              </w:rPr>
              <w:t>Total</w:t>
            </w:r>
          </w:p>
        </w:tc>
      </w:tr>
      <w:tr>
        <w:trPr>
          <w:trHeight w:val="243"/>
        </w:trPr>
        <w:tc>
          <w:tcPr>
            <w:tcW w:w="8660" w:type="dxa"/>
            <w:vAlign w:val="bottom"/>
            <w:shd w:val="clear" w:color="auto" w:fill="C0C0C0"/>
          </w:tcPr>
          <w:p>
            <w:pPr>
              <w:spacing w:after="0"/>
              <w:rPr>
                <w:sz w:val="20"/>
                <w:szCs w:val="20"/>
                <w:color w:val="auto"/>
              </w:rPr>
            </w:pPr>
            <w:r>
              <w:rPr>
                <w:rFonts w:ascii="Arial" w:cs="Arial" w:eastAsia="Arial" w:hAnsi="Arial"/>
                <w:sz w:val="18"/>
                <w:szCs w:val="18"/>
                <w:color w:val="auto"/>
              </w:rPr>
              <w:t>Increase (decrease) in interest income:</w:t>
            </w:r>
          </w:p>
        </w:tc>
        <w:tc>
          <w:tcPr>
            <w:tcW w:w="80" w:type="dxa"/>
            <w:vAlign w:val="bottom"/>
            <w:shd w:val="clear" w:color="auto" w:fill="C0C0C0"/>
          </w:tcPr>
          <w:p>
            <w:pPr>
              <w:spacing w:after="0"/>
              <w:rPr>
                <w:sz w:val="21"/>
                <w:szCs w:val="21"/>
                <w:color w:val="auto"/>
              </w:rPr>
            </w:pPr>
          </w:p>
        </w:tc>
        <w:tc>
          <w:tcPr>
            <w:tcW w:w="76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72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600" w:type="dxa"/>
            <w:vAlign w:val="bottom"/>
            <w:shd w:val="clear" w:color="auto" w:fill="C0C0C0"/>
          </w:tcPr>
          <w:p>
            <w:pPr>
              <w:spacing w:after="0"/>
              <w:rPr>
                <w:sz w:val="21"/>
                <w:szCs w:val="21"/>
                <w:color w:val="auto"/>
              </w:rPr>
            </w:pPr>
          </w:p>
        </w:tc>
      </w:tr>
      <w:tr>
        <w:trPr>
          <w:trHeight w:val="311"/>
        </w:trPr>
        <w:tc>
          <w:tcPr>
            <w:tcW w:w="8660" w:type="dxa"/>
            <w:vAlign w:val="bottom"/>
          </w:tcPr>
          <w:p>
            <w:pPr>
              <w:ind w:left="280"/>
              <w:spacing w:after="0" w:line="310" w:lineRule="exact"/>
              <w:rPr>
                <w:sz w:val="20"/>
                <w:szCs w:val="20"/>
                <w:color w:val="auto"/>
              </w:rPr>
            </w:pPr>
            <w:r>
              <w:rPr>
                <w:rFonts w:ascii="Arial" w:cs="Arial" w:eastAsia="Arial" w:hAnsi="Arial"/>
                <w:sz w:val="18"/>
                <w:szCs w:val="18"/>
                <w:color w:val="auto"/>
              </w:rPr>
              <w:t>Loans</w:t>
            </w:r>
            <w:r>
              <w:rPr>
                <w:rFonts w:ascii="Arial" w:cs="Arial" w:eastAsia="Arial" w:hAnsi="Arial"/>
                <w:sz w:val="29"/>
                <w:szCs w:val="29"/>
                <w:color w:val="auto"/>
                <w:vertAlign w:val="superscript"/>
              </w:rPr>
              <w:t>1, 2</w:t>
            </w: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43"/>
        </w:trPr>
        <w:tc>
          <w:tcPr>
            <w:tcW w:w="8660" w:type="dxa"/>
            <w:vAlign w:val="bottom"/>
            <w:shd w:val="clear" w:color="auto" w:fill="C0C0C0"/>
          </w:tcPr>
          <w:p>
            <w:pPr>
              <w:ind w:left="540"/>
              <w:spacing w:after="0"/>
              <w:rPr>
                <w:sz w:val="20"/>
                <w:szCs w:val="20"/>
                <w:color w:val="auto"/>
              </w:rPr>
            </w:pPr>
            <w:r>
              <w:rPr>
                <w:rFonts w:ascii="Arial" w:cs="Arial" w:eastAsia="Arial" w:hAnsi="Arial"/>
                <w:sz w:val="18"/>
                <w:szCs w:val="18"/>
                <w:color w:val="auto"/>
              </w:rPr>
              <w:t>Taxable</w:t>
            </w:r>
          </w:p>
        </w:tc>
        <w:tc>
          <w:tcPr>
            <w:tcW w:w="8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(103)</w:t>
            </w:r>
          </w:p>
        </w:tc>
        <w:tc>
          <w:tcPr>
            <w:tcW w:w="3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1</w:t>
            </w:r>
          </w:p>
        </w:tc>
        <w:tc>
          <w:tcPr>
            <w:tcW w:w="3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(102)</w:t>
            </w:r>
          </w:p>
        </w:tc>
      </w:tr>
      <w:tr>
        <w:trPr>
          <w:trHeight w:val="311"/>
        </w:trPr>
        <w:tc>
          <w:tcPr>
            <w:tcW w:w="8660" w:type="dxa"/>
            <w:vAlign w:val="bottom"/>
          </w:tcPr>
          <w:p>
            <w:pPr>
              <w:ind w:left="540"/>
              <w:spacing w:after="0" w:line="310" w:lineRule="exact"/>
              <w:rPr>
                <w:sz w:val="20"/>
                <w:szCs w:val="20"/>
                <w:color w:val="auto"/>
              </w:rPr>
            </w:pPr>
            <w:r>
              <w:rPr>
                <w:rFonts w:ascii="Arial" w:cs="Arial" w:eastAsia="Arial" w:hAnsi="Arial"/>
                <w:sz w:val="18"/>
                <w:szCs w:val="18"/>
                <w:color w:val="auto"/>
              </w:rPr>
              <w:t>Tax-exempt</w:t>
            </w:r>
            <w:r>
              <w:rPr>
                <w:rFonts w:ascii="Arial" w:cs="Arial" w:eastAsia="Arial" w:hAnsi="Arial"/>
                <w:sz w:val="29"/>
                <w:szCs w:val="29"/>
                <w:color w:val="auto"/>
                <w:vertAlign w:val="superscript"/>
              </w:rPr>
              <w:t>3</w:t>
            </w:r>
          </w:p>
        </w:tc>
        <w:tc>
          <w:tcPr>
            <w:tcW w:w="80" w:type="dxa"/>
            <w:vAlign w:val="bottom"/>
          </w:tcPr>
          <w:p>
            <w:pPr>
              <w:spacing w:after="0"/>
              <w:rPr>
                <w:sz w:val="24"/>
                <w:szCs w:val="24"/>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(137)</w:t>
            </w:r>
          </w:p>
        </w:tc>
        <w:tc>
          <w:tcPr>
            <w:tcW w:w="300" w:type="dxa"/>
            <w:vAlign w:val="bottom"/>
          </w:tcPr>
          <w:p>
            <w:pPr>
              <w:spacing w:after="0"/>
              <w:rPr>
                <w:sz w:val="24"/>
                <w:szCs w:val="24"/>
                <w:color w:val="auto"/>
              </w:rPr>
            </w:pPr>
          </w:p>
        </w:tc>
        <w:tc>
          <w:tcPr>
            <w:tcW w:w="720" w:type="dxa"/>
            <w:vAlign w:val="bottom"/>
          </w:tcPr>
          <w:p>
            <w:pPr>
              <w:jc w:val="right"/>
              <w:ind w:right="72"/>
              <w:spacing w:after="0"/>
              <w:rPr>
                <w:sz w:val="20"/>
                <w:szCs w:val="20"/>
                <w:color w:val="auto"/>
              </w:rPr>
            </w:pPr>
            <w:r>
              <w:rPr>
                <w:rFonts w:ascii="Arial" w:cs="Arial" w:eastAsia="Arial" w:hAnsi="Arial"/>
                <w:sz w:val="18"/>
                <w:szCs w:val="18"/>
                <w:color w:val="auto"/>
              </w:rPr>
              <w:t>(31)</w:t>
            </w: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(168)</w:t>
            </w:r>
          </w:p>
        </w:tc>
      </w:tr>
      <w:tr>
        <w:trPr>
          <w:trHeight w:val="243"/>
        </w:trPr>
        <w:tc>
          <w:tcPr>
            <w:tcW w:w="8660" w:type="dxa"/>
            <w:vAlign w:val="bottom"/>
            <w:shd w:val="clear" w:color="auto" w:fill="C0C0C0"/>
          </w:tcPr>
          <w:p>
            <w:pPr>
              <w:ind w:left="280"/>
              <w:spacing w:after="0"/>
              <w:rPr>
                <w:sz w:val="20"/>
                <w:szCs w:val="20"/>
                <w:color w:val="auto"/>
              </w:rPr>
            </w:pPr>
            <w:r>
              <w:rPr>
                <w:rFonts w:ascii="Arial" w:cs="Arial" w:eastAsia="Arial" w:hAnsi="Arial"/>
                <w:sz w:val="18"/>
                <w:szCs w:val="18"/>
                <w:color w:val="auto"/>
              </w:rPr>
              <w:t>Investment securities:</w:t>
            </w:r>
          </w:p>
        </w:tc>
        <w:tc>
          <w:tcPr>
            <w:tcW w:w="80" w:type="dxa"/>
            <w:vAlign w:val="bottom"/>
            <w:shd w:val="clear" w:color="auto" w:fill="C0C0C0"/>
          </w:tcPr>
          <w:p>
            <w:pPr>
              <w:spacing w:after="0"/>
              <w:rPr>
                <w:sz w:val="21"/>
                <w:szCs w:val="21"/>
                <w:color w:val="auto"/>
              </w:rPr>
            </w:pPr>
          </w:p>
        </w:tc>
        <w:tc>
          <w:tcPr>
            <w:tcW w:w="76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72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600" w:type="dxa"/>
            <w:vAlign w:val="bottom"/>
            <w:shd w:val="clear" w:color="auto" w:fill="C0C0C0"/>
          </w:tcPr>
          <w:p>
            <w:pPr>
              <w:spacing w:after="0"/>
              <w:rPr>
                <w:sz w:val="21"/>
                <w:szCs w:val="21"/>
                <w:color w:val="auto"/>
              </w:rPr>
            </w:pPr>
          </w:p>
        </w:tc>
      </w:tr>
      <w:tr>
        <w:trPr>
          <w:trHeight w:val="235"/>
        </w:trPr>
        <w:tc>
          <w:tcPr>
            <w:tcW w:w="8660" w:type="dxa"/>
            <w:vAlign w:val="bottom"/>
          </w:tcPr>
          <w:p>
            <w:pPr>
              <w:ind w:left="540"/>
              <w:spacing w:after="0"/>
              <w:rPr>
                <w:sz w:val="20"/>
                <w:szCs w:val="20"/>
                <w:color w:val="auto"/>
              </w:rPr>
            </w:pPr>
            <w:r>
              <w:rPr>
                <w:rFonts w:ascii="Arial" w:cs="Arial" w:eastAsia="Arial" w:hAnsi="Arial"/>
                <w:sz w:val="18"/>
                <w:szCs w:val="18"/>
                <w:color w:val="auto"/>
              </w:rPr>
              <w:t>Taxable</w:t>
            </w:r>
          </w:p>
        </w:tc>
        <w:tc>
          <w:tcPr>
            <w:tcW w:w="80" w:type="dxa"/>
            <w:vAlign w:val="bottom"/>
          </w:tcPr>
          <w:p>
            <w:pPr>
              <w:spacing w:after="0"/>
              <w:rPr>
                <w:sz w:val="20"/>
                <w:szCs w:val="20"/>
                <w:color w:val="auto"/>
              </w:rPr>
            </w:pPr>
          </w:p>
        </w:tc>
        <w:tc>
          <w:tcPr>
            <w:tcW w:w="760" w:type="dxa"/>
            <w:vAlign w:val="bottom"/>
          </w:tcPr>
          <w:p>
            <w:pPr>
              <w:jc w:val="right"/>
              <w:ind w:right="132"/>
              <w:spacing w:after="0"/>
              <w:rPr>
                <w:sz w:val="20"/>
                <w:szCs w:val="20"/>
                <w:color w:val="auto"/>
              </w:rPr>
            </w:pPr>
            <w:r>
              <w:rPr>
                <w:rFonts w:ascii="Arial" w:cs="Arial" w:eastAsia="Arial" w:hAnsi="Arial"/>
                <w:sz w:val="18"/>
                <w:szCs w:val="18"/>
                <w:color w:val="auto"/>
              </w:rPr>
              <w:t>67</w:t>
            </w:r>
          </w:p>
        </w:tc>
        <w:tc>
          <w:tcPr>
            <w:tcW w:w="300" w:type="dxa"/>
            <w:vAlign w:val="bottom"/>
          </w:tcPr>
          <w:p>
            <w:pPr>
              <w:spacing w:after="0"/>
              <w:rPr>
                <w:sz w:val="20"/>
                <w:szCs w:val="20"/>
                <w:color w:val="auto"/>
              </w:rPr>
            </w:pPr>
          </w:p>
        </w:tc>
        <w:tc>
          <w:tcPr>
            <w:tcW w:w="720" w:type="dxa"/>
            <w:vAlign w:val="bottom"/>
          </w:tcPr>
          <w:p>
            <w:pPr>
              <w:jc w:val="right"/>
              <w:ind w:right="72"/>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20"/>
                <w:szCs w:val="20"/>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62</w:t>
            </w:r>
          </w:p>
        </w:tc>
      </w:tr>
      <w:tr>
        <w:trPr>
          <w:trHeight w:val="318"/>
        </w:trPr>
        <w:tc>
          <w:tcPr>
            <w:tcW w:w="8660" w:type="dxa"/>
            <w:vAlign w:val="bottom"/>
            <w:shd w:val="clear" w:color="auto" w:fill="C0C0C0"/>
          </w:tcPr>
          <w:p>
            <w:pPr>
              <w:ind w:left="540"/>
              <w:spacing w:after="0" w:line="319" w:lineRule="exact"/>
              <w:rPr>
                <w:sz w:val="20"/>
                <w:szCs w:val="20"/>
                <w:color w:val="auto"/>
              </w:rPr>
            </w:pPr>
            <w:r>
              <w:rPr>
                <w:rFonts w:ascii="Arial" w:cs="Arial" w:eastAsia="Arial" w:hAnsi="Arial"/>
                <w:sz w:val="18"/>
                <w:szCs w:val="18"/>
                <w:color w:val="auto"/>
              </w:rPr>
              <w:t>Tax-exempt</w:t>
            </w:r>
            <w:r>
              <w:rPr>
                <w:rFonts w:ascii="Arial" w:cs="Arial" w:eastAsia="Arial" w:hAnsi="Arial"/>
                <w:sz w:val="29"/>
                <w:szCs w:val="29"/>
                <w:color w:val="auto"/>
                <w:vertAlign w:val="superscript"/>
              </w:rPr>
              <w:t>3</w:t>
            </w:r>
          </w:p>
        </w:tc>
        <w:tc>
          <w:tcPr>
            <w:tcW w:w="80" w:type="dxa"/>
            <w:vAlign w:val="bottom"/>
            <w:shd w:val="clear" w:color="auto" w:fill="C0C0C0"/>
          </w:tcPr>
          <w:p>
            <w:pPr>
              <w:spacing w:after="0"/>
              <w:rPr>
                <w:sz w:val="24"/>
                <w:szCs w:val="24"/>
                <w:color w:val="auto"/>
              </w:rPr>
            </w:pPr>
          </w:p>
        </w:tc>
        <w:tc>
          <w:tcPr>
            <w:tcW w:w="76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640</w:t>
            </w:r>
          </w:p>
        </w:tc>
        <w:tc>
          <w:tcPr>
            <w:tcW w:w="300" w:type="dxa"/>
            <w:vAlign w:val="bottom"/>
            <w:shd w:val="clear" w:color="auto" w:fill="C0C0C0"/>
          </w:tcPr>
          <w:p>
            <w:pPr>
              <w:spacing w:after="0"/>
              <w:rPr>
                <w:sz w:val="24"/>
                <w:szCs w:val="24"/>
                <w:color w:val="auto"/>
              </w:rPr>
            </w:pPr>
          </w:p>
        </w:tc>
        <w:tc>
          <w:tcPr>
            <w:tcW w:w="72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(298)</w:t>
            </w:r>
          </w:p>
        </w:tc>
        <w:tc>
          <w:tcPr>
            <w:tcW w:w="300" w:type="dxa"/>
            <w:vAlign w:val="bottom"/>
            <w:shd w:val="clear" w:color="auto" w:fill="C0C0C0"/>
          </w:tcPr>
          <w:p>
            <w:pPr>
              <w:spacing w:after="0"/>
              <w:rPr>
                <w:sz w:val="24"/>
                <w:szCs w:val="24"/>
                <w:color w:val="auto"/>
              </w:rPr>
            </w:pPr>
          </w:p>
        </w:tc>
        <w:tc>
          <w:tcPr>
            <w:tcW w:w="6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342</w:t>
            </w:r>
          </w:p>
        </w:tc>
      </w:tr>
      <w:tr>
        <w:trPr>
          <w:trHeight w:val="235"/>
        </w:trPr>
        <w:tc>
          <w:tcPr>
            <w:tcW w:w="8660" w:type="dxa"/>
            <w:vAlign w:val="bottom"/>
          </w:tcPr>
          <w:p>
            <w:pPr>
              <w:ind w:left="280"/>
              <w:spacing w:after="0"/>
              <w:rPr>
                <w:sz w:val="20"/>
                <w:szCs w:val="20"/>
                <w:color w:val="auto"/>
              </w:rPr>
            </w:pPr>
            <w:r>
              <w:rPr>
                <w:rFonts w:ascii="Arial" w:cs="Arial" w:eastAsia="Arial" w:hAnsi="Arial"/>
                <w:sz w:val="18"/>
                <w:szCs w:val="18"/>
                <w:color w:val="auto"/>
              </w:rPr>
              <w:t>Certificates of deposit</w:t>
            </w:r>
          </w:p>
        </w:tc>
        <w:tc>
          <w:tcPr>
            <w:tcW w:w="80" w:type="dxa"/>
            <w:vAlign w:val="bottom"/>
          </w:tcPr>
          <w:p>
            <w:pPr>
              <w:spacing w:after="0"/>
              <w:rPr>
                <w:sz w:val="20"/>
                <w:szCs w:val="20"/>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20"/>
                <w:szCs w:val="20"/>
                <w:color w:val="auto"/>
              </w:rPr>
            </w:pPr>
          </w:p>
        </w:tc>
        <w:tc>
          <w:tcPr>
            <w:tcW w:w="720" w:type="dxa"/>
            <w:vAlign w:val="bottom"/>
          </w:tcPr>
          <w:p>
            <w:pPr>
              <w:jc w:val="right"/>
              <w:ind w:right="132"/>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20"/>
                <w:szCs w:val="20"/>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51"/>
        </w:trPr>
        <w:tc>
          <w:tcPr>
            <w:tcW w:w="8660" w:type="dxa"/>
            <w:vAlign w:val="bottom"/>
            <w:shd w:val="clear" w:color="auto" w:fill="C0C0C0"/>
          </w:tcPr>
          <w:p>
            <w:pPr>
              <w:ind w:left="280"/>
              <w:spacing w:after="0"/>
              <w:rPr>
                <w:sz w:val="20"/>
                <w:szCs w:val="20"/>
                <w:color w:val="auto"/>
              </w:rPr>
            </w:pPr>
            <w:r>
              <w:rPr>
                <w:rFonts w:ascii="Arial" w:cs="Arial" w:eastAsia="Arial" w:hAnsi="Arial"/>
                <w:sz w:val="18"/>
                <w:szCs w:val="18"/>
                <w:color w:val="auto"/>
              </w:rPr>
              <w:t>Interest-bearing deposits in other financial institutions</w:t>
            </w:r>
          </w:p>
        </w:tc>
        <w:tc>
          <w:tcPr>
            <w:tcW w:w="80" w:type="dxa"/>
            <w:vAlign w:val="bottom"/>
            <w:shd w:val="clear" w:color="auto" w:fill="C0C0C0"/>
          </w:tcPr>
          <w:p>
            <w:pPr>
              <w:spacing w:after="0"/>
              <w:rPr>
                <w:sz w:val="21"/>
                <w:szCs w:val="21"/>
                <w:color w:val="auto"/>
              </w:rPr>
            </w:pPr>
          </w:p>
        </w:tc>
        <w:tc>
          <w:tcPr>
            <w:tcW w:w="76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(55)</w:t>
            </w:r>
          </w:p>
        </w:tc>
        <w:tc>
          <w:tcPr>
            <w:tcW w:w="300" w:type="dxa"/>
            <w:vAlign w:val="bottom"/>
            <w:shd w:val="clear" w:color="auto" w:fill="C0C0C0"/>
          </w:tcPr>
          <w:p>
            <w:pPr>
              <w:spacing w:after="0"/>
              <w:rPr>
                <w:sz w:val="21"/>
                <w:szCs w:val="21"/>
                <w:color w:val="auto"/>
              </w:rPr>
            </w:pPr>
          </w:p>
        </w:tc>
        <w:tc>
          <w:tcPr>
            <w:tcW w:w="72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106</w:t>
            </w:r>
          </w:p>
        </w:tc>
        <w:tc>
          <w:tcPr>
            <w:tcW w:w="300" w:type="dxa"/>
            <w:vAlign w:val="bottom"/>
            <w:shd w:val="clear" w:color="auto" w:fill="C0C0C0"/>
          </w:tcPr>
          <w:p>
            <w:pPr>
              <w:spacing w:after="0"/>
              <w:rPr>
                <w:sz w:val="21"/>
                <w:szCs w:val="21"/>
                <w:color w:val="auto"/>
              </w:rPr>
            </w:pPr>
          </w:p>
        </w:tc>
        <w:tc>
          <w:tcPr>
            <w:tcW w:w="6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51</w:t>
            </w:r>
          </w:p>
        </w:tc>
      </w:tr>
      <w:tr>
        <w:trPr>
          <w:trHeight w:val="237"/>
        </w:trPr>
        <w:tc>
          <w:tcPr>
            <w:tcW w:w="8660" w:type="dxa"/>
            <w:vAlign w:val="bottom"/>
            <w:tcBorders>
              <w:bottom w:val="single" w:sz="8" w:color="C0C0C0"/>
            </w:tcBorders>
          </w:tcPr>
          <w:p>
            <w:pPr>
              <w:ind w:left="280"/>
              <w:spacing w:after="0"/>
              <w:rPr>
                <w:sz w:val="20"/>
                <w:szCs w:val="20"/>
                <w:color w:val="auto"/>
              </w:rPr>
            </w:pPr>
            <w:r>
              <w:rPr>
                <w:rFonts w:ascii="Arial" w:cs="Arial" w:eastAsia="Arial" w:hAnsi="Arial"/>
                <w:sz w:val="18"/>
                <w:szCs w:val="18"/>
                <w:color w:val="auto"/>
              </w:rPr>
              <w:t>Federal funds sold and other short-term investments</w:t>
            </w:r>
          </w:p>
        </w:tc>
        <w:tc>
          <w:tcPr>
            <w:tcW w:w="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27</w:t>
            </w:r>
          </w:p>
        </w:tc>
        <w:tc>
          <w:tcPr>
            <w:tcW w:w="3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170</w:t>
            </w:r>
          </w:p>
        </w:tc>
        <w:tc>
          <w:tcPr>
            <w:tcW w:w="3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197</w:t>
            </w:r>
          </w:p>
        </w:tc>
      </w:tr>
      <w:tr>
        <w:trPr>
          <w:trHeight w:val="237"/>
        </w:trPr>
        <w:tc>
          <w:tcPr>
            <w:tcW w:w="866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Total interest income</w:t>
            </w:r>
          </w:p>
        </w:tc>
        <w:tc>
          <w:tcPr>
            <w:tcW w:w="80" w:type="dxa"/>
            <w:vAlign w:val="bottom"/>
            <w:tcBorders>
              <w:bottom w:val="single" w:sz="8" w:color="auto"/>
            </w:tcBorders>
            <w:shd w:val="clear" w:color="auto" w:fill="C0C0C0"/>
          </w:tcPr>
          <w:p>
            <w:pPr>
              <w:spacing w:after="0"/>
              <w:rPr>
                <w:sz w:val="20"/>
                <w:szCs w:val="20"/>
                <w:color w:val="auto"/>
              </w:rPr>
            </w:pPr>
          </w:p>
        </w:tc>
        <w:tc>
          <w:tcPr>
            <w:tcW w:w="76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436</w:t>
            </w:r>
          </w:p>
        </w:tc>
        <w:tc>
          <w:tcPr>
            <w:tcW w:w="300" w:type="dxa"/>
            <w:vAlign w:val="bottom"/>
            <w:tcBorders>
              <w:bottom w:val="single" w:sz="8" w:color="auto"/>
            </w:tcBorders>
            <w:shd w:val="clear" w:color="auto" w:fill="C0C0C0"/>
          </w:tcPr>
          <w:p>
            <w:pPr>
              <w:spacing w:after="0"/>
              <w:rPr>
                <w:sz w:val="20"/>
                <w:szCs w:val="20"/>
                <w:color w:val="auto"/>
              </w:rPr>
            </w:pPr>
          </w:p>
        </w:tc>
        <w:tc>
          <w:tcPr>
            <w:tcW w:w="720" w:type="dxa"/>
            <w:vAlign w:val="bottom"/>
            <w:tcBorders>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rPr>
              <w:t>(54)</w:t>
            </w:r>
          </w:p>
        </w:tc>
        <w:tc>
          <w:tcPr>
            <w:tcW w:w="300" w:type="dxa"/>
            <w:vAlign w:val="bottom"/>
            <w:tcBorders>
              <w:bottom w:val="single" w:sz="8" w:color="auto"/>
            </w:tcBorders>
            <w:shd w:val="clear" w:color="auto" w:fill="C0C0C0"/>
          </w:tcPr>
          <w:p>
            <w:pPr>
              <w:spacing w:after="0"/>
              <w:rPr>
                <w:sz w:val="20"/>
                <w:szCs w:val="20"/>
                <w:color w:val="auto"/>
              </w:rPr>
            </w:pPr>
          </w:p>
        </w:tc>
        <w:tc>
          <w:tcPr>
            <w:tcW w:w="60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382</w:t>
            </w:r>
          </w:p>
        </w:tc>
      </w:tr>
      <w:tr>
        <w:trPr>
          <w:trHeight w:val="235"/>
        </w:trPr>
        <w:tc>
          <w:tcPr>
            <w:tcW w:w="8660" w:type="dxa"/>
            <w:vAlign w:val="bottom"/>
          </w:tcPr>
          <w:p>
            <w:pPr>
              <w:spacing w:after="0"/>
              <w:rPr>
                <w:sz w:val="20"/>
                <w:szCs w:val="20"/>
                <w:color w:val="auto"/>
              </w:rPr>
            </w:pPr>
            <w:r>
              <w:rPr>
                <w:rFonts w:ascii="Arial" w:cs="Arial" w:eastAsia="Arial" w:hAnsi="Arial"/>
                <w:sz w:val="18"/>
                <w:szCs w:val="18"/>
                <w:color w:val="auto"/>
              </w:rPr>
              <w:t>Interest expense on:</w:t>
            </w: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51"/>
        </w:trPr>
        <w:tc>
          <w:tcPr>
            <w:tcW w:w="8660" w:type="dxa"/>
            <w:vAlign w:val="bottom"/>
            <w:shd w:val="clear" w:color="auto" w:fill="C0C0C0"/>
          </w:tcPr>
          <w:p>
            <w:pPr>
              <w:ind w:left="280"/>
              <w:spacing w:after="0"/>
              <w:rPr>
                <w:sz w:val="20"/>
                <w:szCs w:val="20"/>
                <w:color w:val="auto"/>
              </w:rPr>
            </w:pPr>
            <w:r>
              <w:rPr>
                <w:rFonts w:ascii="Arial" w:cs="Arial" w:eastAsia="Arial" w:hAnsi="Arial"/>
                <w:sz w:val="18"/>
                <w:szCs w:val="18"/>
                <w:color w:val="auto"/>
              </w:rPr>
              <w:t>Interest-bearing demand deposits</w:t>
            </w:r>
          </w:p>
        </w:tc>
        <w:tc>
          <w:tcPr>
            <w:tcW w:w="80" w:type="dxa"/>
            <w:vAlign w:val="bottom"/>
            <w:shd w:val="clear" w:color="auto" w:fill="C0C0C0"/>
          </w:tcPr>
          <w:p>
            <w:pPr>
              <w:spacing w:after="0"/>
              <w:rPr>
                <w:sz w:val="21"/>
                <w:szCs w:val="21"/>
                <w:color w:val="auto"/>
              </w:rPr>
            </w:pPr>
          </w:p>
        </w:tc>
        <w:tc>
          <w:tcPr>
            <w:tcW w:w="76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(37)</w:t>
            </w:r>
          </w:p>
        </w:tc>
        <w:tc>
          <w:tcPr>
            <w:tcW w:w="300" w:type="dxa"/>
            <w:vAlign w:val="bottom"/>
            <w:shd w:val="clear" w:color="auto" w:fill="C0C0C0"/>
          </w:tcPr>
          <w:p>
            <w:pPr>
              <w:spacing w:after="0"/>
              <w:rPr>
                <w:sz w:val="21"/>
                <w:szCs w:val="21"/>
                <w:color w:val="auto"/>
              </w:rPr>
            </w:pPr>
          </w:p>
        </w:tc>
        <w:tc>
          <w:tcPr>
            <w:tcW w:w="72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23</w:t>
            </w:r>
          </w:p>
        </w:tc>
        <w:tc>
          <w:tcPr>
            <w:tcW w:w="300" w:type="dxa"/>
            <w:vAlign w:val="bottom"/>
            <w:shd w:val="clear" w:color="auto" w:fill="C0C0C0"/>
          </w:tcPr>
          <w:p>
            <w:pPr>
              <w:spacing w:after="0"/>
              <w:rPr>
                <w:sz w:val="21"/>
                <w:szCs w:val="21"/>
                <w:color w:val="auto"/>
              </w:rPr>
            </w:pPr>
          </w:p>
        </w:tc>
        <w:tc>
          <w:tcPr>
            <w:tcW w:w="6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(14)</w:t>
            </w:r>
          </w:p>
        </w:tc>
      </w:tr>
      <w:tr>
        <w:trPr>
          <w:trHeight w:val="235"/>
        </w:trPr>
        <w:tc>
          <w:tcPr>
            <w:tcW w:w="8660" w:type="dxa"/>
            <w:vAlign w:val="bottom"/>
          </w:tcPr>
          <w:p>
            <w:pPr>
              <w:ind w:left="280"/>
              <w:spacing w:after="0"/>
              <w:rPr>
                <w:sz w:val="20"/>
                <w:szCs w:val="20"/>
                <w:color w:val="auto"/>
              </w:rPr>
            </w:pPr>
            <w:r>
              <w:rPr>
                <w:rFonts w:ascii="Arial" w:cs="Arial" w:eastAsia="Arial" w:hAnsi="Arial"/>
                <w:sz w:val="18"/>
                <w:szCs w:val="18"/>
                <w:color w:val="auto"/>
              </w:rPr>
              <w:t>Savings deposits</w:t>
            </w:r>
          </w:p>
        </w:tc>
        <w:tc>
          <w:tcPr>
            <w:tcW w:w="80" w:type="dxa"/>
            <w:vAlign w:val="bottom"/>
          </w:tcPr>
          <w:p>
            <w:pPr>
              <w:spacing w:after="0"/>
              <w:rPr>
                <w:sz w:val="20"/>
                <w:szCs w:val="20"/>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20"/>
                <w:szCs w:val="20"/>
                <w:color w:val="auto"/>
              </w:rPr>
            </w:pPr>
          </w:p>
        </w:tc>
        <w:tc>
          <w:tcPr>
            <w:tcW w:w="720" w:type="dxa"/>
            <w:vAlign w:val="bottom"/>
          </w:tcPr>
          <w:p>
            <w:pPr>
              <w:jc w:val="right"/>
              <w:ind w:right="72"/>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51"/>
        </w:trPr>
        <w:tc>
          <w:tcPr>
            <w:tcW w:w="8660" w:type="dxa"/>
            <w:vAlign w:val="bottom"/>
            <w:shd w:val="clear" w:color="auto" w:fill="C0C0C0"/>
          </w:tcPr>
          <w:p>
            <w:pPr>
              <w:ind w:left="280"/>
              <w:spacing w:after="0"/>
              <w:rPr>
                <w:sz w:val="20"/>
                <w:szCs w:val="20"/>
                <w:color w:val="auto"/>
              </w:rPr>
            </w:pPr>
            <w:r>
              <w:rPr>
                <w:rFonts w:ascii="Arial" w:cs="Arial" w:eastAsia="Arial" w:hAnsi="Arial"/>
                <w:sz w:val="18"/>
                <w:szCs w:val="18"/>
                <w:color w:val="auto"/>
              </w:rPr>
              <w:t>Time deposits &gt;=$100</w:t>
            </w:r>
          </w:p>
        </w:tc>
        <w:tc>
          <w:tcPr>
            <w:tcW w:w="80" w:type="dxa"/>
            <w:vAlign w:val="bottom"/>
            <w:shd w:val="clear" w:color="auto" w:fill="C0C0C0"/>
          </w:tcPr>
          <w:p>
            <w:pPr>
              <w:spacing w:after="0"/>
              <w:rPr>
                <w:sz w:val="21"/>
                <w:szCs w:val="21"/>
                <w:color w:val="auto"/>
              </w:rPr>
            </w:pPr>
          </w:p>
        </w:tc>
        <w:tc>
          <w:tcPr>
            <w:tcW w:w="76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5</w:t>
            </w:r>
          </w:p>
        </w:tc>
        <w:tc>
          <w:tcPr>
            <w:tcW w:w="300" w:type="dxa"/>
            <w:vAlign w:val="bottom"/>
            <w:shd w:val="clear" w:color="auto" w:fill="C0C0C0"/>
          </w:tcPr>
          <w:p>
            <w:pPr>
              <w:spacing w:after="0"/>
              <w:rPr>
                <w:sz w:val="21"/>
                <w:szCs w:val="21"/>
                <w:color w:val="auto"/>
              </w:rPr>
            </w:pPr>
          </w:p>
        </w:tc>
        <w:tc>
          <w:tcPr>
            <w:tcW w:w="72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(5)</w:t>
            </w:r>
          </w:p>
        </w:tc>
        <w:tc>
          <w:tcPr>
            <w:tcW w:w="300" w:type="dxa"/>
            <w:vAlign w:val="bottom"/>
            <w:shd w:val="clear" w:color="auto" w:fill="C0C0C0"/>
          </w:tcPr>
          <w:p>
            <w:pPr>
              <w:spacing w:after="0"/>
              <w:rPr>
                <w:sz w:val="21"/>
                <w:szCs w:val="21"/>
                <w:color w:val="auto"/>
              </w:rPr>
            </w:pPr>
          </w:p>
        </w:tc>
        <w:tc>
          <w:tcPr>
            <w:tcW w:w="6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8660" w:type="dxa"/>
            <w:vAlign w:val="bottom"/>
            <w:tcBorders>
              <w:bottom w:val="single" w:sz="8" w:color="C0C0C0"/>
            </w:tcBorders>
          </w:tcPr>
          <w:p>
            <w:pPr>
              <w:ind w:left="280"/>
              <w:spacing w:after="0"/>
              <w:rPr>
                <w:sz w:val="20"/>
                <w:szCs w:val="20"/>
                <w:color w:val="auto"/>
              </w:rPr>
            </w:pPr>
            <w:r>
              <w:rPr>
                <w:rFonts w:ascii="Arial" w:cs="Arial" w:eastAsia="Arial" w:hAnsi="Arial"/>
                <w:sz w:val="18"/>
                <w:szCs w:val="18"/>
                <w:color w:val="auto"/>
              </w:rPr>
              <w:t>Other time deposits</w:t>
            </w:r>
          </w:p>
        </w:tc>
        <w:tc>
          <w:tcPr>
            <w:tcW w:w="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(14)</w:t>
            </w:r>
          </w:p>
        </w:tc>
        <w:tc>
          <w:tcPr>
            <w:tcW w:w="3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37"/>
        </w:trPr>
        <w:tc>
          <w:tcPr>
            <w:tcW w:w="866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Total interest expense</w:t>
            </w:r>
          </w:p>
        </w:tc>
        <w:tc>
          <w:tcPr>
            <w:tcW w:w="80" w:type="dxa"/>
            <w:vAlign w:val="bottom"/>
            <w:tcBorders>
              <w:bottom w:val="single" w:sz="8" w:color="auto"/>
            </w:tcBorders>
            <w:shd w:val="clear" w:color="auto" w:fill="C0C0C0"/>
          </w:tcPr>
          <w:p>
            <w:pPr>
              <w:spacing w:after="0"/>
              <w:rPr>
                <w:sz w:val="20"/>
                <w:szCs w:val="20"/>
                <w:color w:val="auto"/>
              </w:rPr>
            </w:pPr>
          </w:p>
        </w:tc>
        <w:tc>
          <w:tcPr>
            <w:tcW w:w="760" w:type="dxa"/>
            <w:vAlign w:val="bottom"/>
            <w:tcBorders>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rPr>
              <w:t>(51)</w:t>
            </w:r>
          </w:p>
        </w:tc>
        <w:tc>
          <w:tcPr>
            <w:tcW w:w="300" w:type="dxa"/>
            <w:vAlign w:val="bottom"/>
            <w:tcBorders>
              <w:bottom w:val="single" w:sz="8" w:color="auto"/>
            </w:tcBorders>
            <w:shd w:val="clear" w:color="auto" w:fill="C0C0C0"/>
          </w:tcPr>
          <w:p>
            <w:pPr>
              <w:spacing w:after="0"/>
              <w:rPr>
                <w:sz w:val="20"/>
                <w:szCs w:val="20"/>
                <w:color w:val="auto"/>
              </w:rPr>
            </w:pPr>
          </w:p>
        </w:tc>
        <w:tc>
          <w:tcPr>
            <w:tcW w:w="72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17</w:t>
            </w:r>
          </w:p>
        </w:tc>
        <w:tc>
          <w:tcPr>
            <w:tcW w:w="300" w:type="dxa"/>
            <w:vAlign w:val="bottom"/>
            <w:tcBorders>
              <w:bottom w:val="single" w:sz="8" w:color="auto"/>
            </w:tcBorders>
            <w:shd w:val="clear" w:color="auto" w:fill="C0C0C0"/>
          </w:tcPr>
          <w:p>
            <w:pPr>
              <w:spacing w:after="0"/>
              <w:rPr>
                <w:sz w:val="20"/>
                <w:szCs w:val="20"/>
                <w:color w:val="auto"/>
              </w:rPr>
            </w:pPr>
          </w:p>
        </w:tc>
        <w:tc>
          <w:tcPr>
            <w:tcW w:w="6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(34)</w:t>
            </w:r>
          </w:p>
        </w:tc>
      </w:tr>
      <w:tr>
        <w:trPr>
          <w:trHeight w:val="228"/>
        </w:trPr>
        <w:tc>
          <w:tcPr>
            <w:tcW w:w="8660" w:type="dxa"/>
            <w:vAlign w:val="bottom"/>
          </w:tcPr>
          <w:p>
            <w:pPr>
              <w:spacing w:after="0"/>
              <w:rPr>
                <w:sz w:val="20"/>
                <w:szCs w:val="20"/>
                <w:color w:val="auto"/>
              </w:rPr>
            </w:pPr>
            <w:r>
              <w:rPr>
                <w:rFonts w:ascii="Arial" w:cs="Arial" w:eastAsia="Arial" w:hAnsi="Arial"/>
                <w:sz w:val="18"/>
                <w:szCs w:val="18"/>
                <w:color w:val="auto"/>
              </w:rPr>
              <w:t>Net interest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132"/>
              <w:spacing w:after="0"/>
              <w:rPr>
                <w:sz w:val="20"/>
                <w:szCs w:val="20"/>
                <w:color w:val="auto"/>
              </w:rPr>
            </w:pPr>
            <w:r>
              <w:rPr>
                <w:rFonts w:ascii="Arial" w:cs="Arial" w:eastAsia="Arial" w:hAnsi="Arial"/>
                <w:sz w:val="18"/>
                <w:szCs w:val="18"/>
                <w:color w:val="auto"/>
              </w:rPr>
              <w:t>487</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72"/>
              <w:spacing w:after="0"/>
              <w:rPr>
                <w:sz w:val="20"/>
                <w:szCs w:val="20"/>
                <w:color w:val="auto"/>
              </w:rPr>
            </w:pPr>
            <w:r>
              <w:rPr>
                <w:rFonts w:ascii="Arial" w:cs="Arial" w:eastAsia="Arial" w:hAnsi="Arial"/>
                <w:sz w:val="18"/>
                <w:szCs w:val="18"/>
                <w:color w:val="auto"/>
              </w:rPr>
              <w:t>(71)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416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280" w:hanging="272"/>
        <w:spacing w:after="0"/>
        <w:tabs>
          <w:tab w:leader="none" w:pos="280" w:val="left"/>
        </w:tabs>
        <w:numPr>
          <w:ilvl w:val="0"/>
          <w:numId w:val="7"/>
        </w:numPr>
        <w:rPr>
          <w:rFonts w:ascii="Arial" w:cs="Arial" w:eastAsia="Arial" w:hAnsi="Arial"/>
          <w:sz w:val="14"/>
          <w:szCs w:val="14"/>
          <w:color w:val="auto"/>
        </w:rPr>
      </w:pPr>
      <w:r>
        <w:rPr>
          <w:rFonts w:ascii="Arial" w:cs="Arial" w:eastAsia="Arial" w:hAnsi="Arial"/>
          <w:sz w:val="14"/>
          <w:szCs w:val="14"/>
          <w:color w:val="auto"/>
        </w:rPr>
        <w:t>Average balances include nonaccrual loans.</w:t>
      </w:r>
    </w:p>
    <w:p>
      <w:pPr>
        <w:ind w:left="280" w:hanging="272"/>
        <w:spacing w:after="0" w:line="221" w:lineRule="auto"/>
        <w:tabs>
          <w:tab w:leader="none" w:pos="28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Interest income includes net loan fees.</w:t>
      </w:r>
    </w:p>
    <w:p>
      <w:pPr>
        <w:ind w:left="280" w:hanging="272"/>
        <w:spacing w:after="0"/>
        <w:tabs>
          <w:tab w:leader="none" w:pos="28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Interest income is presented on a tax-equivalent basis assuming a tax rate of 35%.</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40" w:type="dxa"/>
            <w:vAlign w:val="bottom"/>
            <w:gridSpan w:val="5"/>
          </w:tcPr>
          <w:p>
            <w:pPr>
              <w:jc w:val="right"/>
              <w:ind w:right="472"/>
              <w:spacing w:after="0"/>
              <w:rPr>
                <w:sz w:val="20"/>
                <w:szCs w:val="20"/>
                <w:color w:val="auto"/>
              </w:rPr>
            </w:pPr>
            <w:r>
              <w:rPr>
                <w:rFonts w:ascii="Arial" w:cs="Arial" w:eastAsia="Arial" w:hAnsi="Arial"/>
                <w:sz w:val="18"/>
                <w:szCs w:val="18"/>
                <w:b w:val="1"/>
                <w:bCs w:val="1"/>
                <w:color w:val="auto"/>
              </w:rPr>
              <w:t>First Half of 2017 Over</w:t>
            </w:r>
          </w:p>
        </w:tc>
      </w:tr>
      <w:tr>
        <w:trPr>
          <w:trHeight w:val="252"/>
        </w:trPr>
        <w:tc>
          <w:tcPr>
            <w:tcW w:w="85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First Half of 2016</w:t>
            </w:r>
          </w:p>
        </w:tc>
        <w:tc>
          <w:tcPr>
            <w:tcW w:w="1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r>
      <w:tr>
        <w:trPr>
          <w:trHeight w:val="237"/>
        </w:trPr>
        <w:tc>
          <w:tcPr>
            <w:tcW w:w="8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86"/>
              </w:rPr>
              <w:t>Volume</w:t>
            </w: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Rate</w:t>
            </w:r>
          </w:p>
        </w:tc>
        <w:tc>
          <w:tcPr>
            <w:tcW w:w="1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2"/>
              </w:rPr>
              <w:t>Total</w:t>
            </w:r>
          </w:p>
        </w:tc>
      </w:tr>
      <w:tr>
        <w:trPr>
          <w:trHeight w:val="243"/>
        </w:trPr>
        <w:tc>
          <w:tcPr>
            <w:tcW w:w="8580" w:type="dxa"/>
            <w:vAlign w:val="bottom"/>
            <w:shd w:val="clear" w:color="auto" w:fill="C0C0C0"/>
          </w:tcPr>
          <w:p>
            <w:pPr>
              <w:spacing w:after="0"/>
              <w:rPr>
                <w:sz w:val="20"/>
                <w:szCs w:val="20"/>
                <w:color w:val="auto"/>
              </w:rPr>
            </w:pPr>
            <w:r>
              <w:rPr>
                <w:rFonts w:ascii="Arial" w:cs="Arial" w:eastAsia="Arial" w:hAnsi="Arial"/>
                <w:sz w:val="18"/>
                <w:szCs w:val="18"/>
                <w:color w:val="auto"/>
              </w:rPr>
              <w:t>Increase (decrease) in interest income:</w:t>
            </w:r>
          </w:p>
        </w:tc>
        <w:tc>
          <w:tcPr>
            <w:tcW w:w="10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8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600" w:type="dxa"/>
            <w:vAlign w:val="bottom"/>
            <w:shd w:val="clear" w:color="auto" w:fill="C0C0C0"/>
          </w:tcPr>
          <w:p>
            <w:pPr>
              <w:spacing w:after="0"/>
              <w:rPr>
                <w:sz w:val="21"/>
                <w:szCs w:val="21"/>
                <w:color w:val="auto"/>
              </w:rPr>
            </w:pPr>
          </w:p>
        </w:tc>
      </w:tr>
      <w:tr>
        <w:trPr>
          <w:trHeight w:val="311"/>
        </w:trPr>
        <w:tc>
          <w:tcPr>
            <w:tcW w:w="8580" w:type="dxa"/>
            <w:vAlign w:val="bottom"/>
          </w:tcPr>
          <w:p>
            <w:pPr>
              <w:ind w:left="280"/>
              <w:spacing w:after="0" w:line="310" w:lineRule="exact"/>
              <w:rPr>
                <w:sz w:val="20"/>
                <w:szCs w:val="20"/>
                <w:color w:val="auto"/>
              </w:rPr>
            </w:pPr>
            <w:r>
              <w:rPr>
                <w:rFonts w:ascii="Arial" w:cs="Arial" w:eastAsia="Arial" w:hAnsi="Arial"/>
                <w:sz w:val="18"/>
                <w:szCs w:val="18"/>
                <w:color w:val="auto"/>
              </w:rPr>
              <w:t>Loans</w:t>
            </w:r>
            <w:r>
              <w:rPr>
                <w:rFonts w:ascii="Arial" w:cs="Arial" w:eastAsia="Arial" w:hAnsi="Arial"/>
                <w:sz w:val="29"/>
                <w:szCs w:val="29"/>
                <w:color w:val="auto"/>
                <w:vertAlign w:val="superscript"/>
              </w:rPr>
              <w:t>1, 2</w:t>
            </w: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43"/>
        </w:trPr>
        <w:tc>
          <w:tcPr>
            <w:tcW w:w="8580" w:type="dxa"/>
            <w:vAlign w:val="bottom"/>
            <w:shd w:val="clear" w:color="auto" w:fill="C0C0C0"/>
          </w:tcPr>
          <w:p>
            <w:pPr>
              <w:ind w:left="540"/>
              <w:spacing w:after="0"/>
              <w:rPr>
                <w:sz w:val="20"/>
                <w:szCs w:val="20"/>
                <w:color w:val="auto"/>
              </w:rPr>
            </w:pPr>
            <w:r>
              <w:rPr>
                <w:rFonts w:ascii="Arial" w:cs="Arial" w:eastAsia="Arial" w:hAnsi="Arial"/>
                <w:sz w:val="18"/>
                <w:szCs w:val="18"/>
                <w:color w:val="auto"/>
              </w:rPr>
              <w:t>Taxable</w:t>
            </w:r>
          </w:p>
        </w:tc>
        <w:tc>
          <w:tcPr>
            <w:tcW w:w="10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(88)</w:t>
            </w:r>
          </w:p>
        </w:tc>
        <w:tc>
          <w:tcPr>
            <w:tcW w:w="3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0C0C0"/>
          </w:tcPr>
          <w:p>
            <w:pPr>
              <w:jc w:val="right"/>
              <w:ind w:right="212"/>
              <w:spacing w:after="0"/>
              <w:rPr>
                <w:sz w:val="20"/>
                <w:szCs w:val="20"/>
                <w:color w:val="auto"/>
              </w:rPr>
            </w:pPr>
            <w:r>
              <w:rPr>
                <w:rFonts w:ascii="Arial" w:cs="Arial" w:eastAsia="Arial" w:hAnsi="Arial"/>
                <w:sz w:val="18"/>
                <w:szCs w:val="18"/>
                <w:color w:val="auto"/>
              </w:rPr>
              <w:t>(83)</w:t>
            </w:r>
          </w:p>
        </w:tc>
        <w:tc>
          <w:tcPr>
            <w:tcW w:w="16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(171)</w:t>
            </w:r>
          </w:p>
        </w:tc>
      </w:tr>
      <w:tr>
        <w:trPr>
          <w:trHeight w:val="311"/>
        </w:trPr>
        <w:tc>
          <w:tcPr>
            <w:tcW w:w="8580" w:type="dxa"/>
            <w:vAlign w:val="bottom"/>
          </w:tcPr>
          <w:p>
            <w:pPr>
              <w:ind w:left="540"/>
              <w:spacing w:after="0" w:line="310" w:lineRule="exact"/>
              <w:rPr>
                <w:sz w:val="20"/>
                <w:szCs w:val="20"/>
                <w:color w:val="auto"/>
              </w:rPr>
            </w:pPr>
            <w:r>
              <w:rPr>
                <w:rFonts w:ascii="Arial" w:cs="Arial" w:eastAsia="Arial" w:hAnsi="Arial"/>
                <w:sz w:val="18"/>
                <w:szCs w:val="18"/>
                <w:color w:val="auto"/>
              </w:rPr>
              <w:t>Tax-exempt</w:t>
            </w:r>
            <w:r>
              <w:rPr>
                <w:rFonts w:ascii="Arial" w:cs="Arial" w:eastAsia="Arial" w:hAnsi="Arial"/>
                <w:sz w:val="29"/>
                <w:szCs w:val="29"/>
                <w:color w:val="auto"/>
                <w:vertAlign w:val="superscript"/>
              </w:rPr>
              <w:t>3</w:t>
            </w:r>
          </w:p>
        </w:tc>
        <w:tc>
          <w:tcPr>
            <w:tcW w:w="100" w:type="dxa"/>
            <w:vAlign w:val="bottom"/>
          </w:tcPr>
          <w:p>
            <w:pPr>
              <w:spacing w:after="0"/>
              <w:rPr>
                <w:sz w:val="24"/>
                <w:szCs w:val="24"/>
                <w:color w:val="auto"/>
              </w:rPr>
            </w:pP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(270)</w:t>
            </w:r>
          </w:p>
        </w:tc>
        <w:tc>
          <w:tcPr>
            <w:tcW w:w="300" w:type="dxa"/>
            <w:vAlign w:val="bottom"/>
          </w:tcPr>
          <w:p>
            <w:pPr>
              <w:spacing w:after="0"/>
              <w:rPr>
                <w:sz w:val="24"/>
                <w:szCs w:val="24"/>
                <w:color w:val="auto"/>
              </w:rPr>
            </w:pPr>
          </w:p>
        </w:tc>
        <w:tc>
          <w:tcPr>
            <w:tcW w:w="860" w:type="dxa"/>
            <w:vAlign w:val="bottom"/>
          </w:tcPr>
          <w:p>
            <w:pPr>
              <w:jc w:val="right"/>
              <w:ind w:right="212"/>
              <w:spacing w:after="0"/>
              <w:rPr>
                <w:sz w:val="20"/>
                <w:szCs w:val="20"/>
                <w:color w:val="auto"/>
              </w:rPr>
            </w:pPr>
            <w:r>
              <w:rPr>
                <w:rFonts w:ascii="Arial" w:cs="Arial" w:eastAsia="Arial" w:hAnsi="Arial"/>
                <w:sz w:val="18"/>
                <w:szCs w:val="18"/>
                <w:color w:val="auto"/>
              </w:rPr>
              <w:t>(66)</w:t>
            </w: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(336)</w:t>
            </w:r>
          </w:p>
        </w:tc>
      </w:tr>
      <w:tr>
        <w:trPr>
          <w:trHeight w:val="243"/>
        </w:trPr>
        <w:tc>
          <w:tcPr>
            <w:tcW w:w="8580" w:type="dxa"/>
            <w:vAlign w:val="bottom"/>
            <w:shd w:val="clear" w:color="auto" w:fill="C0C0C0"/>
          </w:tcPr>
          <w:p>
            <w:pPr>
              <w:ind w:left="280"/>
              <w:spacing w:after="0"/>
              <w:rPr>
                <w:sz w:val="20"/>
                <w:szCs w:val="20"/>
                <w:color w:val="auto"/>
              </w:rPr>
            </w:pPr>
            <w:r>
              <w:rPr>
                <w:rFonts w:ascii="Arial" w:cs="Arial" w:eastAsia="Arial" w:hAnsi="Arial"/>
                <w:sz w:val="18"/>
                <w:szCs w:val="18"/>
                <w:color w:val="auto"/>
              </w:rPr>
              <w:t>Investment securities:</w:t>
            </w:r>
          </w:p>
        </w:tc>
        <w:tc>
          <w:tcPr>
            <w:tcW w:w="10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8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600" w:type="dxa"/>
            <w:vAlign w:val="bottom"/>
            <w:shd w:val="clear" w:color="auto" w:fill="C0C0C0"/>
          </w:tcPr>
          <w:p>
            <w:pPr>
              <w:spacing w:after="0"/>
              <w:rPr>
                <w:sz w:val="21"/>
                <w:szCs w:val="21"/>
                <w:color w:val="auto"/>
              </w:rPr>
            </w:pPr>
          </w:p>
        </w:tc>
      </w:tr>
      <w:tr>
        <w:trPr>
          <w:trHeight w:val="235"/>
        </w:trPr>
        <w:tc>
          <w:tcPr>
            <w:tcW w:w="8580" w:type="dxa"/>
            <w:vAlign w:val="bottom"/>
          </w:tcPr>
          <w:p>
            <w:pPr>
              <w:ind w:left="540"/>
              <w:spacing w:after="0"/>
              <w:rPr>
                <w:sz w:val="20"/>
                <w:szCs w:val="20"/>
                <w:color w:val="auto"/>
              </w:rPr>
            </w:pPr>
            <w:r>
              <w:rPr>
                <w:rFonts w:ascii="Arial" w:cs="Arial" w:eastAsia="Arial" w:hAnsi="Arial"/>
                <w:sz w:val="18"/>
                <w:szCs w:val="18"/>
                <w:color w:val="auto"/>
              </w:rPr>
              <w:t>Taxable</w:t>
            </w:r>
          </w:p>
        </w:tc>
        <w:tc>
          <w:tcPr>
            <w:tcW w:w="100" w:type="dxa"/>
            <w:vAlign w:val="bottom"/>
          </w:tcPr>
          <w:p>
            <w:pPr>
              <w:spacing w:after="0"/>
              <w:rPr>
                <w:sz w:val="20"/>
                <w:szCs w:val="20"/>
                <w:color w:val="auto"/>
              </w:rPr>
            </w:pP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126</w:t>
            </w:r>
          </w:p>
        </w:tc>
        <w:tc>
          <w:tcPr>
            <w:tcW w:w="300" w:type="dxa"/>
            <w:vAlign w:val="bottom"/>
          </w:tcPr>
          <w:p>
            <w:pPr>
              <w:spacing w:after="0"/>
              <w:rPr>
                <w:sz w:val="20"/>
                <w:szCs w:val="20"/>
                <w:color w:val="auto"/>
              </w:rPr>
            </w:pPr>
          </w:p>
        </w:tc>
        <w:tc>
          <w:tcPr>
            <w:tcW w:w="860" w:type="dxa"/>
            <w:vAlign w:val="bottom"/>
          </w:tcPr>
          <w:p>
            <w:pPr>
              <w:jc w:val="right"/>
              <w:ind w:right="272"/>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0"/>
                <w:szCs w:val="20"/>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128</w:t>
            </w:r>
          </w:p>
        </w:tc>
      </w:tr>
      <w:tr>
        <w:trPr>
          <w:trHeight w:val="318"/>
        </w:trPr>
        <w:tc>
          <w:tcPr>
            <w:tcW w:w="8580" w:type="dxa"/>
            <w:vAlign w:val="bottom"/>
            <w:shd w:val="clear" w:color="auto" w:fill="C0C0C0"/>
          </w:tcPr>
          <w:p>
            <w:pPr>
              <w:ind w:left="540"/>
              <w:spacing w:after="0" w:line="319" w:lineRule="exact"/>
              <w:rPr>
                <w:sz w:val="20"/>
                <w:szCs w:val="20"/>
                <w:color w:val="auto"/>
              </w:rPr>
            </w:pPr>
            <w:r>
              <w:rPr>
                <w:rFonts w:ascii="Arial" w:cs="Arial" w:eastAsia="Arial" w:hAnsi="Arial"/>
                <w:sz w:val="18"/>
                <w:szCs w:val="18"/>
                <w:color w:val="auto"/>
              </w:rPr>
              <w:t>Tax-exempt</w:t>
            </w:r>
            <w:r>
              <w:rPr>
                <w:rFonts w:ascii="Arial" w:cs="Arial" w:eastAsia="Arial" w:hAnsi="Arial"/>
                <w:sz w:val="29"/>
                <w:szCs w:val="29"/>
                <w:color w:val="auto"/>
                <w:vertAlign w:val="superscript"/>
              </w:rPr>
              <w:t>3</w:t>
            </w:r>
          </w:p>
        </w:tc>
        <w:tc>
          <w:tcPr>
            <w:tcW w:w="100" w:type="dxa"/>
            <w:vAlign w:val="bottom"/>
            <w:shd w:val="clear" w:color="auto" w:fill="C0C0C0"/>
          </w:tcPr>
          <w:p>
            <w:pPr>
              <w:spacing w:after="0"/>
              <w:rPr>
                <w:sz w:val="24"/>
                <w:szCs w:val="24"/>
                <w:color w:val="auto"/>
              </w:rPr>
            </w:pPr>
          </w:p>
        </w:tc>
        <w:tc>
          <w:tcPr>
            <w:tcW w:w="82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1,146</w:t>
            </w:r>
          </w:p>
        </w:tc>
        <w:tc>
          <w:tcPr>
            <w:tcW w:w="300" w:type="dxa"/>
            <w:vAlign w:val="bottom"/>
            <w:shd w:val="clear" w:color="auto" w:fill="C0C0C0"/>
          </w:tcPr>
          <w:p>
            <w:pPr>
              <w:spacing w:after="0"/>
              <w:rPr>
                <w:sz w:val="24"/>
                <w:szCs w:val="24"/>
                <w:color w:val="auto"/>
              </w:rPr>
            </w:pPr>
          </w:p>
        </w:tc>
        <w:tc>
          <w:tcPr>
            <w:tcW w:w="860" w:type="dxa"/>
            <w:vAlign w:val="bottom"/>
            <w:shd w:val="clear" w:color="auto" w:fill="C0C0C0"/>
          </w:tcPr>
          <w:p>
            <w:pPr>
              <w:jc w:val="right"/>
              <w:ind w:right="212"/>
              <w:spacing w:after="0"/>
              <w:rPr>
                <w:sz w:val="20"/>
                <w:szCs w:val="20"/>
                <w:color w:val="auto"/>
              </w:rPr>
            </w:pPr>
            <w:r>
              <w:rPr>
                <w:rFonts w:ascii="Arial" w:cs="Arial" w:eastAsia="Arial" w:hAnsi="Arial"/>
                <w:sz w:val="18"/>
                <w:szCs w:val="18"/>
                <w:color w:val="auto"/>
              </w:rPr>
              <w:t>(486)</w:t>
            </w:r>
          </w:p>
        </w:tc>
        <w:tc>
          <w:tcPr>
            <w:tcW w:w="160" w:type="dxa"/>
            <w:vAlign w:val="bottom"/>
            <w:shd w:val="clear" w:color="auto" w:fill="C0C0C0"/>
          </w:tcPr>
          <w:p>
            <w:pPr>
              <w:spacing w:after="0"/>
              <w:rPr>
                <w:sz w:val="24"/>
                <w:szCs w:val="24"/>
                <w:color w:val="auto"/>
              </w:rPr>
            </w:pPr>
          </w:p>
        </w:tc>
        <w:tc>
          <w:tcPr>
            <w:tcW w:w="6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660</w:t>
            </w:r>
          </w:p>
        </w:tc>
      </w:tr>
      <w:tr>
        <w:trPr>
          <w:trHeight w:val="235"/>
        </w:trPr>
        <w:tc>
          <w:tcPr>
            <w:tcW w:w="8580" w:type="dxa"/>
            <w:vAlign w:val="bottom"/>
          </w:tcPr>
          <w:p>
            <w:pPr>
              <w:ind w:left="280"/>
              <w:spacing w:after="0"/>
              <w:rPr>
                <w:sz w:val="20"/>
                <w:szCs w:val="20"/>
                <w:color w:val="auto"/>
              </w:rPr>
            </w:pPr>
            <w:r>
              <w:rPr>
                <w:rFonts w:ascii="Arial" w:cs="Arial" w:eastAsia="Arial" w:hAnsi="Arial"/>
                <w:sz w:val="18"/>
                <w:szCs w:val="18"/>
                <w:color w:val="auto"/>
              </w:rPr>
              <w:t>Certificates of deposit</w:t>
            </w:r>
          </w:p>
        </w:tc>
        <w:tc>
          <w:tcPr>
            <w:tcW w:w="100" w:type="dxa"/>
            <w:vAlign w:val="bottom"/>
          </w:tcPr>
          <w:p>
            <w:pPr>
              <w:spacing w:after="0"/>
              <w:rPr>
                <w:sz w:val="20"/>
                <w:szCs w:val="20"/>
                <w:color w:val="auto"/>
              </w:rPr>
            </w:pP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20"/>
                <w:szCs w:val="20"/>
                <w:color w:val="auto"/>
              </w:rPr>
            </w:pPr>
          </w:p>
        </w:tc>
        <w:tc>
          <w:tcPr>
            <w:tcW w:w="860" w:type="dxa"/>
            <w:vAlign w:val="bottom"/>
          </w:tcPr>
          <w:p>
            <w:pPr>
              <w:jc w:val="right"/>
              <w:ind w:right="272"/>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0"/>
                <w:szCs w:val="20"/>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51"/>
        </w:trPr>
        <w:tc>
          <w:tcPr>
            <w:tcW w:w="8580" w:type="dxa"/>
            <w:vAlign w:val="bottom"/>
            <w:shd w:val="clear" w:color="auto" w:fill="C0C0C0"/>
          </w:tcPr>
          <w:p>
            <w:pPr>
              <w:ind w:left="280"/>
              <w:spacing w:after="0"/>
              <w:rPr>
                <w:sz w:val="20"/>
                <w:szCs w:val="20"/>
                <w:color w:val="auto"/>
              </w:rPr>
            </w:pPr>
            <w:r>
              <w:rPr>
                <w:rFonts w:ascii="Arial" w:cs="Arial" w:eastAsia="Arial" w:hAnsi="Arial"/>
                <w:sz w:val="18"/>
                <w:szCs w:val="18"/>
                <w:color w:val="auto"/>
              </w:rPr>
              <w:t>Interest-bearing deposits in other financial institutions</w:t>
            </w:r>
          </w:p>
        </w:tc>
        <w:tc>
          <w:tcPr>
            <w:tcW w:w="100" w:type="dxa"/>
            <w:vAlign w:val="bottom"/>
            <w:shd w:val="clear" w:color="auto" w:fill="C0C0C0"/>
          </w:tcPr>
          <w:p>
            <w:pPr>
              <w:spacing w:after="0"/>
              <w:rPr>
                <w:sz w:val="21"/>
                <w:szCs w:val="21"/>
                <w:color w:val="auto"/>
              </w:rPr>
            </w:pPr>
          </w:p>
        </w:tc>
        <w:tc>
          <w:tcPr>
            <w:tcW w:w="82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(96)</w:t>
            </w:r>
          </w:p>
        </w:tc>
        <w:tc>
          <w:tcPr>
            <w:tcW w:w="300" w:type="dxa"/>
            <w:vAlign w:val="bottom"/>
            <w:shd w:val="clear" w:color="auto" w:fill="C0C0C0"/>
          </w:tcPr>
          <w:p>
            <w:pPr>
              <w:spacing w:after="0"/>
              <w:rPr>
                <w:sz w:val="21"/>
                <w:szCs w:val="21"/>
                <w:color w:val="auto"/>
              </w:rPr>
            </w:pPr>
          </w:p>
        </w:tc>
        <w:tc>
          <w:tcPr>
            <w:tcW w:w="860" w:type="dxa"/>
            <w:vAlign w:val="bottom"/>
            <w:shd w:val="clear" w:color="auto" w:fill="C0C0C0"/>
          </w:tcPr>
          <w:p>
            <w:pPr>
              <w:jc w:val="right"/>
              <w:ind w:right="272"/>
              <w:spacing w:after="0"/>
              <w:rPr>
                <w:sz w:val="20"/>
                <w:szCs w:val="20"/>
                <w:color w:val="auto"/>
              </w:rPr>
            </w:pPr>
            <w:r>
              <w:rPr>
                <w:rFonts w:ascii="Arial" w:cs="Arial" w:eastAsia="Arial" w:hAnsi="Arial"/>
                <w:sz w:val="18"/>
                <w:szCs w:val="18"/>
                <w:color w:val="auto"/>
              </w:rPr>
              <w:t>176</w:t>
            </w:r>
          </w:p>
        </w:tc>
        <w:tc>
          <w:tcPr>
            <w:tcW w:w="160" w:type="dxa"/>
            <w:vAlign w:val="bottom"/>
            <w:shd w:val="clear" w:color="auto" w:fill="C0C0C0"/>
          </w:tcPr>
          <w:p>
            <w:pPr>
              <w:spacing w:after="0"/>
              <w:rPr>
                <w:sz w:val="21"/>
                <w:szCs w:val="21"/>
                <w:color w:val="auto"/>
              </w:rPr>
            </w:pPr>
          </w:p>
        </w:tc>
        <w:tc>
          <w:tcPr>
            <w:tcW w:w="6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80</w:t>
            </w:r>
          </w:p>
        </w:tc>
      </w:tr>
      <w:tr>
        <w:trPr>
          <w:trHeight w:val="237"/>
        </w:trPr>
        <w:tc>
          <w:tcPr>
            <w:tcW w:w="8580" w:type="dxa"/>
            <w:vAlign w:val="bottom"/>
            <w:tcBorders>
              <w:bottom w:val="single" w:sz="8" w:color="C0C0C0"/>
            </w:tcBorders>
          </w:tcPr>
          <w:p>
            <w:pPr>
              <w:ind w:left="280"/>
              <w:spacing w:after="0"/>
              <w:rPr>
                <w:sz w:val="20"/>
                <w:szCs w:val="20"/>
                <w:color w:val="auto"/>
              </w:rPr>
            </w:pPr>
            <w:r>
              <w:rPr>
                <w:rFonts w:ascii="Arial" w:cs="Arial" w:eastAsia="Arial" w:hAnsi="Arial"/>
                <w:sz w:val="18"/>
                <w:szCs w:val="18"/>
                <w:color w:val="auto"/>
              </w:rPr>
              <w:t>Federal funds sold and other short-term investments</w:t>
            </w: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48</w:t>
            </w: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248</w:t>
            </w:r>
          </w:p>
        </w:tc>
        <w:tc>
          <w:tcPr>
            <w:tcW w:w="1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296</w:t>
            </w:r>
          </w:p>
        </w:tc>
      </w:tr>
      <w:tr>
        <w:trPr>
          <w:trHeight w:val="237"/>
        </w:trPr>
        <w:tc>
          <w:tcPr>
            <w:tcW w:w="858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Total interest income</w:t>
            </w:r>
          </w:p>
        </w:tc>
        <w:tc>
          <w:tcPr>
            <w:tcW w:w="100" w:type="dxa"/>
            <w:vAlign w:val="bottom"/>
            <w:tcBorders>
              <w:bottom w:val="single" w:sz="8" w:color="auto"/>
            </w:tcBorders>
            <w:shd w:val="clear" w:color="auto" w:fill="C0C0C0"/>
          </w:tcPr>
          <w:p>
            <w:pPr>
              <w:spacing w:after="0"/>
              <w:rPr>
                <w:sz w:val="20"/>
                <w:szCs w:val="20"/>
                <w:color w:val="auto"/>
              </w:rPr>
            </w:pPr>
          </w:p>
        </w:tc>
        <w:tc>
          <w:tcPr>
            <w:tcW w:w="82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863</w:t>
            </w:r>
          </w:p>
        </w:tc>
        <w:tc>
          <w:tcPr>
            <w:tcW w:w="300" w:type="dxa"/>
            <w:vAlign w:val="bottom"/>
            <w:tcBorders>
              <w:bottom w:val="single" w:sz="8" w:color="auto"/>
            </w:tcBorders>
            <w:shd w:val="clear" w:color="auto" w:fill="C0C0C0"/>
          </w:tcPr>
          <w:p>
            <w:pPr>
              <w:spacing w:after="0"/>
              <w:rPr>
                <w:sz w:val="20"/>
                <w:szCs w:val="20"/>
                <w:color w:val="auto"/>
              </w:rPr>
            </w:pPr>
          </w:p>
        </w:tc>
        <w:tc>
          <w:tcPr>
            <w:tcW w:w="860" w:type="dxa"/>
            <w:vAlign w:val="bottom"/>
            <w:tcBorders>
              <w:bottom w:val="single" w:sz="8" w:color="auto"/>
            </w:tcBorders>
            <w:shd w:val="clear" w:color="auto" w:fill="C0C0C0"/>
          </w:tcPr>
          <w:p>
            <w:pPr>
              <w:jc w:val="right"/>
              <w:ind w:right="212"/>
              <w:spacing w:after="0"/>
              <w:rPr>
                <w:sz w:val="20"/>
                <w:szCs w:val="20"/>
                <w:color w:val="auto"/>
              </w:rPr>
            </w:pPr>
            <w:r>
              <w:rPr>
                <w:rFonts w:ascii="Arial" w:cs="Arial" w:eastAsia="Arial" w:hAnsi="Arial"/>
                <w:sz w:val="18"/>
                <w:szCs w:val="18"/>
                <w:color w:val="auto"/>
              </w:rPr>
              <w:t>(206)</w:t>
            </w:r>
          </w:p>
        </w:tc>
        <w:tc>
          <w:tcPr>
            <w:tcW w:w="160" w:type="dxa"/>
            <w:vAlign w:val="bottom"/>
            <w:tcBorders>
              <w:bottom w:val="single" w:sz="8" w:color="auto"/>
            </w:tcBorders>
            <w:shd w:val="clear" w:color="auto" w:fill="C0C0C0"/>
          </w:tcPr>
          <w:p>
            <w:pPr>
              <w:spacing w:after="0"/>
              <w:rPr>
                <w:sz w:val="20"/>
                <w:szCs w:val="20"/>
                <w:color w:val="auto"/>
              </w:rPr>
            </w:pPr>
          </w:p>
        </w:tc>
        <w:tc>
          <w:tcPr>
            <w:tcW w:w="60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657</w:t>
            </w:r>
          </w:p>
        </w:tc>
      </w:tr>
      <w:tr>
        <w:trPr>
          <w:trHeight w:val="235"/>
        </w:trPr>
        <w:tc>
          <w:tcPr>
            <w:tcW w:w="8580" w:type="dxa"/>
            <w:vAlign w:val="bottom"/>
          </w:tcPr>
          <w:p>
            <w:pPr>
              <w:spacing w:after="0"/>
              <w:rPr>
                <w:sz w:val="20"/>
                <w:szCs w:val="20"/>
                <w:color w:val="auto"/>
              </w:rPr>
            </w:pPr>
            <w:r>
              <w:rPr>
                <w:rFonts w:ascii="Arial" w:cs="Arial" w:eastAsia="Arial" w:hAnsi="Arial"/>
                <w:sz w:val="18"/>
                <w:szCs w:val="18"/>
                <w:color w:val="auto"/>
              </w:rPr>
              <w:t>Interest expense on:</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51"/>
        </w:trPr>
        <w:tc>
          <w:tcPr>
            <w:tcW w:w="8580" w:type="dxa"/>
            <w:vAlign w:val="bottom"/>
            <w:shd w:val="clear" w:color="auto" w:fill="C0C0C0"/>
          </w:tcPr>
          <w:p>
            <w:pPr>
              <w:ind w:left="280"/>
              <w:spacing w:after="0"/>
              <w:rPr>
                <w:sz w:val="20"/>
                <w:szCs w:val="20"/>
                <w:color w:val="auto"/>
              </w:rPr>
            </w:pPr>
            <w:r>
              <w:rPr>
                <w:rFonts w:ascii="Arial" w:cs="Arial" w:eastAsia="Arial" w:hAnsi="Arial"/>
                <w:sz w:val="18"/>
                <w:szCs w:val="18"/>
                <w:color w:val="auto"/>
              </w:rPr>
              <w:t>Interest-bearing demand deposits</w:t>
            </w:r>
          </w:p>
        </w:tc>
        <w:tc>
          <w:tcPr>
            <w:tcW w:w="100" w:type="dxa"/>
            <w:vAlign w:val="bottom"/>
            <w:shd w:val="clear" w:color="auto" w:fill="C0C0C0"/>
          </w:tcPr>
          <w:p>
            <w:pPr>
              <w:spacing w:after="0"/>
              <w:rPr>
                <w:sz w:val="21"/>
                <w:szCs w:val="21"/>
                <w:color w:val="auto"/>
              </w:rPr>
            </w:pPr>
          </w:p>
        </w:tc>
        <w:tc>
          <w:tcPr>
            <w:tcW w:w="82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(73)</w:t>
            </w:r>
          </w:p>
        </w:tc>
        <w:tc>
          <w:tcPr>
            <w:tcW w:w="300" w:type="dxa"/>
            <w:vAlign w:val="bottom"/>
            <w:shd w:val="clear" w:color="auto" w:fill="C0C0C0"/>
          </w:tcPr>
          <w:p>
            <w:pPr>
              <w:spacing w:after="0"/>
              <w:rPr>
                <w:sz w:val="21"/>
                <w:szCs w:val="21"/>
                <w:color w:val="auto"/>
              </w:rPr>
            </w:pPr>
          </w:p>
        </w:tc>
        <w:tc>
          <w:tcPr>
            <w:tcW w:w="860" w:type="dxa"/>
            <w:vAlign w:val="bottom"/>
            <w:shd w:val="clear" w:color="auto" w:fill="C0C0C0"/>
          </w:tcPr>
          <w:p>
            <w:pPr>
              <w:jc w:val="right"/>
              <w:ind w:right="272"/>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0C0C0"/>
          </w:tcPr>
          <w:p>
            <w:pPr>
              <w:spacing w:after="0"/>
              <w:rPr>
                <w:sz w:val="21"/>
                <w:szCs w:val="21"/>
                <w:color w:val="auto"/>
              </w:rPr>
            </w:pPr>
          </w:p>
        </w:tc>
        <w:tc>
          <w:tcPr>
            <w:tcW w:w="6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(38)</w:t>
            </w:r>
          </w:p>
        </w:tc>
      </w:tr>
      <w:tr>
        <w:trPr>
          <w:trHeight w:val="235"/>
        </w:trPr>
        <w:tc>
          <w:tcPr>
            <w:tcW w:w="8580" w:type="dxa"/>
            <w:vAlign w:val="bottom"/>
          </w:tcPr>
          <w:p>
            <w:pPr>
              <w:ind w:left="280"/>
              <w:spacing w:after="0"/>
              <w:rPr>
                <w:sz w:val="20"/>
                <w:szCs w:val="20"/>
                <w:color w:val="auto"/>
              </w:rPr>
            </w:pPr>
            <w:r>
              <w:rPr>
                <w:rFonts w:ascii="Arial" w:cs="Arial" w:eastAsia="Arial" w:hAnsi="Arial"/>
                <w:sz w:val="18"/>
                <w:szCs w:val="18"/>
                <w:color w:val="auto"/>
              </w:rPr>
              <w:t>Savings deposits</w:t>
            </w:r>
          </w:p>
        </w:tc>
        <w:tc>
          <w:tcPr>
            <w:tcW w:w="100" w:type="dxa"/>
            <w:vAlign w:val="bottom"/>
          </w:tcPr>
          <w:p>
            <w:pPr>
              <w:spacing w:after="0"/>
              <w:rPr>
                <w:sz w:val="20"/>
                <w:szCs w:val="20"/>
                <w:color w:val="auto"/>
              </w:rPr>
            </w:pP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20"/>
                <w:szCs w:val="20"/>
                <w:color w:val="auto"/>
              </w:rPr>
            </w:pPr>
          </w:p>
        </w:tc>
        <w:tc>
          <w:tcPr>
            <w:tcW w:w="860" w:type="dxa"/>
            <w:vAlign w:val="bottom"/>
          </w:tcPr>
          <w:p>
            <w:pPr>
              <w:jc w:val="right"/>
              <w:ind w:right="212"/>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0"/>
                <w:szCs w:val="20"/>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1</w:t>
            </w:r>
          </w:p>
        </w:tc>
      </w:tr>
      <w:tr>
        <w:trPr>
          <w:trHeight w:val="251"/>
        </w:trPr>
        <w:tc>
          <w:tcPr>
            <w:tcW w:w="8580" w:type="dxa"/>
            <w:vAlign w:val="bottom"/>
            <w:shd w:val="clear" w:color="auto" w:fill="C0C0C0"/>
          </w:tcPr>
          <w:p>
            <w:pPr>
              <w:ind w:left="280"/>
              <w:spacing w:after="0"/>
              <w:rPr>
                <w:sz w:val="20"/>
                <w:szCs w:val="20"/>
                <w:color w:val="auto"/>
              </w:rPr>
            </w:pPr>
            <w:r>
              <w:rPr>
                <w:rFonts w:ascii="Arial" w:cs="Arial" w:eastAsia="Arial" w:hAnsi="Arial"/>
                <w:sz w:val="18"/>
                <w:szCs w:val="18"/>
                <w:color w:val="auto"/>
              </w:rPr>
              <w:t>Time deposits &gt;=$100</w:t>
            </w:r>
          </w:p>
        </w:tc>
        <w:tc>
          <w:tcPr>
            <w:tcW w:w="100" w:type="dxa"/>
            <w:vAlign w:val="bottom"/>
            <w:shd w:val="clear" w:color="auto" w:fill="C0C0C0"/>
          </w:tcPr>
          <w:p>
            <w:pPr>
              <w:spacing w:after="0"/>
              <w:rPr>
                <w:sz w:val="21"/>
                <w:szCs w:val="21"/>
                <w:color w:val="auto"/>
              </w:rPr>
            </w:pPr>
          </w:p>
        </w:tc>
        <w:tc>
          <w:tcPr>
            <w:tcW w:w="82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3</w:t>
            </w:r>
          </w:p>
        </w:tc>
        <w:tc>
          <w:tcPr>
            <w:tcW w:w="300" w:type="dxa"/>
            <w:vAlign w:val="bottom"/>
            <w:shd w:val="clear" w:color="auto" w:fill="C0C0C0"/>
          </w:tcPr>
          <w:p>
            <w:pPr>
              <w:spacing w:after="0"/>
              <w:rPr>
                <w:sz w:val="21"/>
                <w:szCs w:val="21"/>
                <w:color w:val="auto"/>
              </w:rPr>
            </w:pPr>
          </w:p>
        </w:tc>
        <w:tc>
          <w:tcPr>
            <w:tcW w:w="860" w:type="dxa"/>
            <w:vAlign w:val="bottom"/>
            <w:shd w:val="clear" w:color="auto" w:fill="C0C0C0"/>
          </w:tcPr>
          <w:p>
            <w:pPr>
              <w:jc w:val="right"/>
              <w:ind w:right="212"/>
              <w:spacing w:after="0"/>
              <w:rPr>
                <w:sz w:val="20"/>
                <w:szCs w:val="20"/>
                <w:color w:val="auto"/>
              </w:rPr>
            </w:pPr>
            <w:r>
              <w:rPr>
                <w:rFonts w:ascii="Arial" w:cs="Arial" w:eastAsia="Arial" w:hAnsi="Arial"/>
                <w:sz w:val="18"/>
                <w:szCs w:val="18"/>
                <w:color w:val="auto"/>
              </w:rPr>
              <w:t>(9)</w:t>
            </w:r>
          </w:p>
        </w:tc>
        <w:tc>
          <w:tcPr>
            <w:tcW w:w="160" w:type="dxa"/>
            <w:vAlign w:val="bottom"/>
            <w:shd w:val="clear" w:color="auto" w:fill="C0C0C0"/>
          </w:tcPr>
          <w:p>
            <w:pPr>
              <w:spacing w:after="0"/>
              <w:rPr>
                <w:sz w:val="21"/>
                <w:szCs w:val="21"/>
                <w:color w:val="auto"/>
              </w:rPr>
            </w:pPr>
          </w:p>
        </w:tc>
        <w:tc>
          <w:tcPr>
            <w:tcW w:w="6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w:t>
            </w:r>
          </w:p>
        </w:tc>
      </w:tr>
      <w:tr>
        <w:trPr>
          <w:trHeight w:val="237"/>
        </w:trPr>
        <w:tc>
          <w:tcPr>
            <w:tcW w:w="8580" w:type="dxa"/>
            <w:vAlign w:val="bottom"/>
            <w:tcBorders>
              <w:bottom w:val="single" w:sz="8" w:color="C0C0C0"/>
            </w:tcBorders>
          </w:tcPr>
          <w:p>
            <w:pPr>
              <w:ind w:left="280"/>
              <w:spacing w:after="0"/>
              <w:rPr>
                <w:sz w:val="20"/>
                <w:szCs w:val="20"/>
                <w:color w:val="auto"/>
              </w:rPr>
            </w:pPr>
            <w:r>
              <w:rPr>
                <w:rFonts w:ascii="Arial" w:cs="Arial" w:eastAsia="Arial" w:hAnsi="Arial"/>
                <w:sz w:val="18"/>
                <w:szCs w:val="18"/>
                <w:color w:val="auto"/>
              </w:rPr>
              <w:t>Other time deposits</w:t>
            </w: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(24)</w:t>
            </w: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r>
      <w:tr>
        <w:trPr>
          <w:trHeight w:val="237"/>
        </w:trPr>
        <w:tc>
          <w:tcPr>
            <w:tcW w:w="858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Total interest expense</w:t>
            </w:r>
          </w:p>
        </w:tc>
        <w:tc>
          <w:tcPr>
            <w:tcW w:w="100" w:type="dxa"/>
            <w:vAlign w:val="bottom"/>
            <w:tcBorders>
              <w:bottom w:val="single" w:sz="8" w:color="auto"/>
            </w:tcBorders>
            <w:shd w:val="clear" w:color="auto" w:fill="C0C0C0"/>
          </w:tcPr>
          <w:p>
            <w:pPr>
              <w:spacing w:after="0"/>
              <w:rPr>
                <w:sz w:val="20"/>
                <w:szCs w:val="20"/>
                <w:color w:val="auto"/>
              </w:rPr>
            </w:pPr>
          </w:p>
        </w:tc>
        <w:tc>
          <w:tcPr>
            <w:tcW w:w="820" w:type="dxa"/>
            <w:vAlign w:val="bottom"/>
            <w:tcBorders>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rPr>
              <w:t>(92)</w:t>
            </w:r>
          </w:p>
        </w:tc>
        <w:tc>
          <w:tcPr>
            <w:tcW w:w="300" w:type="dxa"/>
            <w:vAlign w:val="bottom"/>
            <w:tcBorders>
              <w:bottom w:val="single" w:sz="8" w:color="auto"/>
            </w:tcBorders>
            <w:shd w:val="clear" w:color="auto" w:fill="C0C0C0"/>
          </w:tcPr>
          <w:p>
            <w:pPr>
              <w:spacing w:after="0"/>
              <w:rPr>
                <w:sz w:val="20"/>
                <w:szCs w:val="20"/>
                <w:color w:val="auto"/>
              </w:rPr>
            </w:pPr>
          </w:p>
        </w:tc>
        <w:tc>
          <w:tcPr>
            <w:tcW w:w="860" w:type="dxa"/>
            <w:vAlign w:val="bottom"/>
            <w:tcBorders>
              <w:bottom w:val="single" w:sz="8" w:color="auto"/>
            </w:tcBorders>
            <w:shd w:val="clear" w:color="auto" w:fill="C0C0C0"/>
          </w:tcPr>
          <w:p>
            <w:pPr>
              <w:jc w:val="right"/>
              <w:ind w:right="272"/>
              <w:spacing w:after="0"/>
              <w:rPr>
                <w:sz w:val="20"/>
                <w:szCs w:val="20"/>
                <w:color w:val="auto"/>
              </w:rPr>
            </w:pPr>
            <w:r>
              <w:rPr>
                <w:rFonts w:ascii="Arial" w:cs="Arial" w:eastAsia="Arial" w:hAnsi="Arial"/>
                <w:sz w:val="18"/>
                <w:szCs w:val="18"/>
                <w:color w:val="auto"/>
              </w:rPr>
              <w:t>25</w:t>
            </w:r>
          </w:p>
        </w:tc>
        <w:tc>
          <w:tcPr>
            <w:tcW w:w="160" w:type="dxa"/>
            <w:vAlign w:val="bottom"/>
            <w:tcBorders>
              <w:bottom w:val="single" w:sz="8" w:color="auto"/>
            </w:tcBorders>
            <w:shd w:val="clear" w:color="auto" w:fill="C0C0C0"/>
          </w:tcPr>
          <w:p>
            <w:pPr>
              <w:spacing w:after="0"/>
              <w:rPr>
                <w:sz w:val="20"/>
                <w:szCs w:val="20"/>
                <w:color w:val="auto"/>
              </w:rPr>
            </w:pPr>
          </w:p>
        </w:tc>
        <w:tc>
          <w:tcPr>
            <w:tcW w:w="6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(67)</w:t>
            </w:r>
          </w:p>
        </w:tc>
      </w:tr>
      <w:tr>
        <w:trPr>
          <w:trHeight w:val="228"/>
        </w:trPr>
        <w:tc>
          <w:tcPr>
            <w:tcW w:w="8580" w:type="dxa"/>
            <w:vAlign w:val="bottom"/>
          </w:tcPr>
          <w:p>
            <w:pPr>
              <w:spacing w:after="0"/>
              <w:rPr>
                <w:sz w:val="20"/>
                <w:szCs w:val="20"/>
                <w:color w:val="auto"/>
              </w:rPr>
            </w:pPr>
            <w:r>
              <w:rPr>
                <w:rFonts w:ascii="Arial" w:cs="Arial" w:eastAsia="Arial" w:hAnsi="Arial"/>
                <w:sz w:val="18"/>
                <w:szCs w:val="18"/>
                <w:color w:val="auto"/>
              </w:rPr>
              <w:t>Net interest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955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12"/>
              <w:spacing w:after="0"/>
              <w:rPr>
                <w:sz w:val="20"/>
                <w:szCs w:val="20"/>
                <w:color w:val="auto"/>
              </w:rPr>
            </w:pPr>
            <w:r>
              <w:rPr>
                <w:rFonts w:ascii="Arial" w:cs="Arial" w:eastAsia="Arial" w:hAnsi="Arial"/>
                <w:sz w:val="18"/>
                <w:szCs w:val="18"/>
                <w:color w:val="auto"/>
              </w:rPr>
              <w:t>(231)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724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280" w:hanging="272"/>
        <w:spacing w:after="0"/>
        <w:tabs>
          <w:tab w:leader="none" w:pos="280" w:val="left"/>
        </w:tabs>
        <w:numPr>
          <w:ilvl w:val="0"/>
          <w:numId w:val="8"/>
        </w:numPr>
        <w:rPr>
          <w:rFonts w:ascii="Arial" w:cs="Arial" w:eastAsia="Arial" w:hAnsi="Arial"/>
          <w:sz w:val="14"/>
          <w:szCs w:val="14"/>
          <w:color w:val="auto"/>
        </w:rPr>
      </w:pPr>
      <w:r>
        <w:rPr>
          <w:rFonts w:ascii="Arial" w:cs="Arial" w:eastAsia="Arial" w:hAnsi="Arial"/>
          <w:sz w:val="14"/>
          <w:szCs w:val="14"/>
          <w:color w:val="auto"/>
        </w:rPr>
        <w:t>Average balances include nonaccrual loans.</w:t>
      </w:r>
    </w:p>
    <w:p>
      <w:pPr>
        <w:ind w:left="280" w:hanging="272"/>
        <w:spacing w:after="0" w:line="221" w:lineRule="auto"/>
        <w:tabs>
          <w:tab w:leader="none" w:pos="28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Interest income includes net loan fees.</w:t>
      </w:r>
    </w:p>
    <w:p>
      <w:pPr>
        <w:ind w:left="280" w:hanging="272"/>
        <w:spacing w:after="0"/>
        <w:tabs>
          <w:tab w:leader="none" w:pos="28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Interest income is presented on a tax-equivalent basis assuming a tax rate of 35%.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and Allowance for Loan Losses (“ALLL”)</w:t>
      </w:r>
    </w:p>
    <w:p>
      <w:pPr>
        <w:spacing w:after="0" w:line="23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 significant determinant of the Company’s operating results can be the provision for loan losses. There was no provision for loan losses during the Second Quarter of 2017 or the Second Quarter of 2016. There was no loan loss provision recorded in the First Half of 2017 and a negative loan loss provision of $1,000,000 was recorded during the First Half of 2016. As discussed below, the Company continually analyzes the outstanding loan portfolio based on the performance, financial condition and collateralization of the credits. Net loan recoveries were $5,000 and $35,000 during the Second Quarter of 2017 and the Second Quarter of 2016, respectively. Net loan recoveries were $21,000 in the First Half of 2017 and $37,000 during the First Half of 2016.</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755" w:gutter="0" w:footer="0" w:header="0"/>
        </w:sectPr>
      </w:pPr>
    </w:p>
    <w:bookmarkStart w:id="24" w:name="page25"/>
    <w:bookmarkEnd w:id="24"/>
    <w:p>
      <w:pPr>
        <w:jc w:val="both"/>
        <w:spacing w:after="0" w:line="286" w:lineRule="auto"/>
        <w:rPr>
          <w:sz w:val="20"/>
          <w:szCs w:val="20"/>
          <w:color w:val="auto"/>
        </w:rPr>
      </w:pPr>
      <w:r>
        <w:rPr>
          <w:rFonts w:ascii="Arial" w:cs="Arial" w:eastAsia="Arial" w:hAnsi="Arial"/>
          <w:sz w:val="16"/>
          <w:szCs w:val="16"/>
          <w:color w:val="auto"/>
        </w:rPr>
        <w:t>The ALLL at June 30, 2017 was $10,196,000 and at December 31, 2016 was $10,175,000. The ratio of ALLL to total loans outstanding was 1.52% and 1.53% at June 30, 2017 and December 31, 2016, respectively. Nonperforming loans were $219,000, or .03%, of total loans at June 30, 2017 compared to $245,000, or</w:t>
      </w:r>
    </w:p>
    <w:p>
      <w:pPr>
        <w:jc w:val="both"/>
        <w:spacing w:after="0" w:line="261" w:lineRule="auto"/>
        <w:rPr>
          <w:sz w:val="20"/>
          <w:szCs w:val="20"/>
          <w:color w:val="auto"/>
        </w:rPr>
      </w:pPr>
      <w:r>
        <w:rPr>
          <w:rFonts w:ascii="Arial" w:cs="Arial" w:eastAsia="Arial" w:hAnsi="Arial"/>
          <w:sz w:val="18"/>
          <w:szCs w:val="18"/>
          <w:color w:val="auto"/>
        </w:rPr>
        <w:t>.04%, of total loans at December 31, 2016. This consists of one nonaccrual loan, which is also considered impaired, at June 30, 2017. Total nonaccrual loans decreased $26,000 from December 31, 2016 to June 30, 2017.</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ALLL has been established and is maintained to absorb reasonably estimated and probable losses in the loan portfolio. An ongoing assessment is performed to determine if the balance is adequate. Charges or credits are made to expense to cover any deficiency or reduce any excess, as required. The current methodology consists of two components: 1) estimated credit losses on individually evaluated loans that are determined to be impaired in accordance with FASB ASC 310 “Allowance for Credit Losses,” and 2) estimated credit losses inherent in the remainder of the loan portfolio in accordance with FASB ASC 450, “Contingencies.” Estimated credit losses is an estimate of the current amount of loans that is probable the Company will be unable to collect according to the original terms.</w:t>
      </w:r>
    </w:p>
    <w:p>
      <w:pPr>
        <w:spacing w:after="0" w:line="19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For loans that are individually evaluated, the Company uses two impairment measurement methods: 1) the present value of expected future cash flows and 2) collateral value. For the remainder of the portfolio, the Company groups loans with similar risk characteristics into eight segments and applies historical loss rates to each segment based on a five fiscal-year look-back period. In addition, qualitative factors including credit concentration risk, national and local economic conditions, nature and volume of loan portfolio, legal and regulatory factors, downturns in specific industries including losses in collateral value, trends in credit quality at the Company and in the banking industry and trends in risk-rating agencies are also considered.</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also utilizes ratio analysis to evaluate the overall reasonableness of the ALLL compared to its peers and required levels of regulatory capital. Federal and state agencies review the Company’s methodology for maintaining the ALLL. These agencies may require the Company to adjust the ALLL based on their judgments and interpretations about information available to them at the time of their examinations.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Asset Quality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on the Company’s provision for loan losses and analysis of the ALLL:</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8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3"/>
          </w:tcPr>
          <w:p>
            <w:pPr>
              <w:jc w:val="right"/>
              <w:ind w:right="532"/>
              <w:spacing w:after="0"/>
              <w:rPr>
                <w:sz w:val="20"/>
                <w:szCs w:val="20"/>
                <w:color w:val="auto"/>
              </w:rPr>
            </w:pPr>
            <w:r>
              <w:rPr>
                <w:rFonts w:ascii="Arial" w:cs="Arial" w:eastAsia="Arial" w:hAnsi="Arial"/>
                <w:sz w:val="18"/>
                <w:szCs w:val="18"/>
                <w:b w:val="1"/>
                <w:bCs w:val="1"/>
                <w:color w:val="auto"/>
              </w:rPr>
              <w:t>Second Quarter of</w:t>
            </w:r>
          </w:p>
        </w:tc>
        <w:tc>
          <w:tcPr>
            <w:tcW w:w="34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3"/>
          </w:tcPr>
          <w:p>
            <w:pPr>
              <w:jc w:val="right"/>
              <w:ind w:right="632"/>
              <w:spacing w:after="0"/>
              <w:rPr>
                <w:sz w:val="20"/>
                <w:szCs w:val="20"/>
                <w:color w:val="auto"/>
              </w:rPr>
            </w:pPr>
            <w:r>
              <w:rPr>
                <w:rFonts w:ascii="Arial" w:cs="Arial" w:eastAsia="Arial" w:hAnsi="Arial"/>
                <w:sz w:val="18"/>
                <w:szCs w:val="18"/>
                <w:b w:val="1"/>
                <w:bCs w:val="1"/>
                <w:color w:val="auto"/>
              </w:rPr>
              <w:t>First Half of</w:t>
            </w:r>
          </w:p>
        </w:tc>
      </w:tr>
      <w:tr>
        <w:trPr>
          <w:trHeight w:val="237"/>
        </w:trPr>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5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2017</w:t>
            </w: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2016</w:t>
            </w:r>
          </w:p>
        </w:tc>
        <w:tc>
          <w:tcPr>
            <w:tcW w:w="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2017</w:t>
            </w: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2016</w:t>
            </w:r>
          </w:p>
        </w:tc>
      </w:tr>
      <w:tr>
        <w:trPr>
          <w:trHeight w:val="243"/>
        </w:trPr>
        <w:tc>
          <w:tcPr>
            <w:tcW w:w="4880" w:type="dxa"/>
            <w:vAlign w:val="bottom"/>
            <w:shd w:val="clear" w:color="auto" w:fill="C0C0C0"/>
          </w:tcPr>
          <w:p>
            <w:pPr>
              <w:spacing w:after="0"/>
              <w:rPr>
                <w:sz w:val="20"/>
                <w:szCs w:val="20"/>
                <w:color w:val="auto"/>
              </w:rPr>
            </w:pPr>
            <w:r>
              <w:rPr>
                <w:rFonts w:ascii="Arial" w:cs="Arial" w:eastAsia="Arial" w:hAnsi="Arial"/>
                <w:sz w:val="18"/>
                <w:szCs w:val="18"/>
                <w:color w:val="auto"/>
              </w:rPr>
              <w:t>Allowance at beginning of period</w:t>
            </w:r>
          </w:p>
        </w:tc>
        <w:tc>
          <w:tcPr>
            <w:tcW w:w="178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10,191</w:t>
            </w:r>
          </w:p>
        </w:tc>
        <w:tc>
          <w:tcPr>
            <w:tcW w:w="3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98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10,637</w:t>
            </w:r>
          </w:p>
        </w:tc>
        <w:tc>
          <w:tcPr>
            <w:tcW w:w="3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96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10,175</w:t>
            </w:r>
          </w:p>
        </w:tc>
        <w:tc>
          <w:tcPr>
            <w:tcW w:w="3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11,635</w:t>
            </w:r>
          </w:p>
        </w:tc>
      </w:tr>
      <w:tr>
        <w:trPr>
          <w:trHeight w:val="235"/>
        </w:trPr>
        <w:tc>
          <w:tcPr>
            <w:tcW w:w="4880" w:type="dxa"/>
            <w:vAlign w:val="bottom"/>
          </w:tcPr>
          <w:p>
            <w:pPr>
              <w:spacing w:after="0"/>
              <w:rPr>
                <w:sz w:val="20"/>
                <w:szCs w:val="20"/>
                <w:color w:val="auto"/>
              </w:rPr>
            </w:pPr>
            <w:r>
              <w:rPr>
                <w:rFonts w:ascii="Arial" w:cs="Arial" w:eastAsia="Arial" w:hAnsi="Arial"/>
                <w:sz w:val="18"/>
                <w:szCs w:val="18"/>
                <w:color w:val="auto"/>
              </w:rPr>
              <w:t>Provision charged to expense</w:t>
            </w:r>
          </w:p>
        </w:tc>
        <w:tc>
          <w:tcPr>
            <w:tcW w:w="1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98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96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(1,000)</w:t>
            </w:r>
          </w:p>
        </w:tc>
      </w:tr>
      <w:tr>
        <w:trPr>
          <w:trHeight w:val="251"/>
        </w:trPr>
        <w:tc>
          <w:tcPr>
            <w:tcW w:w="4880" w:type="dxa"/>
            <w:vAlign w:val="bottom"/>
            <w:shd w:val="clear" w:color="auto" w:fill="C0C0C0"/>
          </w:tcPr>
          <w:p>
            <w:pPr>
              <w:ind w:left="280"/>
              <w:spacing w:after="0"/>
              <w:rPr>
                <w:sz w:val="20"/>
                <w:szCs w:val="20"/>
                <w:color w:val="auto"/>
              </w:rPr>
            </w:pPr>
            <w:r>
              <w:rPr>
                <w:rFonts w:ascii="Arial" w:cs="Arial" w:eastAsia="Arial" w:hAnsi="Arial"/>
                <w:sz w:val="18"/>
                <w:szCs w:val="18"/>
                <w:color w:val="auto"/>
              </w:rPr>
              <w:t>Loans charged off</w:t>
            </w:r>
          </w:p>
        </w:tc>
        <w:tc>
          <w:tcPr>
            <w:tcW w:w="15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96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w:t>
            </w:r>
          </w:p>
        </w:tc>
        <w:tc>
          <w:tcPr>
            <w:tcW w:w="340" w:type="dxa"/>
            <w:vAlign w:val="bottom"/>
            <w:shd w:val="clear" w:color="auto" w:fill="C0C0C0"/>
          </w:tcPr>
          <w:p>
            <w:pPr>
              <w:spacing w:after="0"/>
              <w:rPr>
                <w:sz w:val="21"/>
                <w:szCs w:val="21"/>
                <w:color w:val="auto"/>
              </w:rPr>
            </w:pPr>
          </w:p>
        </w:tc>
        <w:tc>
          <w:tcPr>
            <w:tcW w:w="98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w:t>
            </w:r>
          </w:p>
        </w:tc>
        <w:tc>
          <w:tcPr>
            <w:tcW w:w="340" w:type="dxa"/>
            <w:vAlign w:val="bottom"/>
            <w:shd w:val="clear" w:color="auto" w:fill="C0C0C0"/>
          </w:tcPr>
          <w:p>
            <w:pPr>
              <w:spacing w:after="0"/>
              <w:rPr>
                <w:sz w:val="21"/>
                <w:szCs w:val="21"/>
                <w:color w:val="auto"/>
              </w:rPr>
            </w:pPr>
          </w:p>
        </w:tc>
        <w:tc>
          <w:tcPr>
            <w:tcW w:w="96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w:t>
            </w:r>
          </w:p>
        </w:tc>
        <w:tc>
          <w:tcPr>
            <w:tcW w:w="34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r>
      <w:tr>
        <w:trPr>
          <w:trHeight w:val="237"/>
        </w:trPr>
        <w:tc>
          <w:tcPr>
            <w:tcW w:w="488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Recoveries on loans previously charged off</w:t>
            </w:r>
          </w:p>
        </w:tc>
        <w:tc>
          <w:tcPr>
            <w:tcW w:w="15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5</w:t>
            </w: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35</w:t>
            </w:r>
          </w:p>
        </w:tc>
        <w:tc>
          <w:tcPr>
            <w:tcW w:w="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21</w:t>
            </w: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37</w:t>
            </w:r>
          </w:p>
        </w:tc>
      </w:tr>
      <w:tr>
        <w:trPr>
          <w:trHeight w:val="243"/>
        </w:trPr>
        <w:tc>
          <w:tcPr>
            <w:tcW w:w="4880" w:type="dxa"/>
            <w:vAlign w:val="bottom"/>
            <w:shd w:val="clear" w:color="auto" w:fill="C0C0C0"/>
          </w:tcPr>
          <w:p>
            <w:pPr>
              <w:spacing w:after="0"/>
              <w:rPr>
                <w:sz w:val="20"/>
                <w:szCs w:val="20"/>
                <w:color w:val="auto"/>
              </w:rPr>
            </w:pPr>
            <w:r>
              <w:rPr>
                <w:rFonts w:ascii="Arial" w:cs="Arial" w:eastAsia="Arial" w:hAnsi="Arial"/>
                <w:sz w:val="18"/>
                <w:szCs w:val="18"/>
                <w:color w:val="auto"/>
              </w:rPr>
              <w:t>Net recoveries</w:t>
            </w:r>
          </w:p>
        </w:tc>
        <w:tc>
          <w:tcPr>
            <w:tcW w:w="15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96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5</w:t>
            </w:r>
          </w:p>
        </w:tc>
        <w:tc>
          <w:tcPr>
            <w:tcW w:w="340" w:type="dxa"/>
            <w:vAlign w:val="bottom"/>
            <w:shd w:val="clear" w:color="auto" w:fill="C0C0C0"/>
          </w:tcPr>
          <w:p>
            <w:pPr>
              <w:spacing w:after="0"/>
              <w:rPr>
                <w:sz w:val="21"/>
                <w:szCs w:val="21"/>
                <w:color w:val="auto"/>
              </w:rPr>
            </w:pPr>
          </w:p>
        </w:tc>
        <w:tc>
          <w:tcPr>
            <w:tcW w:w="98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35</w:t>
            </w:r>
          </w:p>
        </w:tc>
        <w:tc>
          <w:tcPr>
            <w:tcW w:w="340" w:type="dxa"/>
            <w:vAlign w:val="bottom"/>
            <w:shd w:val="clear" w:color="auto" w:fill="C0C0C0"/>
          </w:tcPr>
          <w:p>
            <w:pPr>
              <w:spacing w:after="0"/>
              <w:rPr>
                <w:sz w:val="21"/>
                <w:szCs w:val="21"/>
                <w:color w:val="auto"/>
              </w:rPr>
            </w:pPr>
          </w:p>
        </w:tc>
        <w:tc>
          <w:tcPr>
            <w:tcW w:w="96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21</w:t>
            </w:r>
          </w:p>
        </w:tc>
        <w:tc>
          <w:tcPr>
            <w:tcW w:w="34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37</w:t>
            </w:r>
          </w:p>
        </w:tc>
      </w:tr>
      <w:tr>
        <w:trPr>
          <w:trHeight w:val="237"/>
        </w:trPr>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Allowance at end of period</w:t>
            </w:r>
          </w:p>
        </w:tc>
        <w:tc>
          <w:tcPr>
            <w:tcW w:w="17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10,196</w:t>
            </w:r>
          </w:p>
        </w:tc>
        <w:tc>
          <w:tcPr>
            <w:tcW w:w="3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10,672</w:t>
            </w:r>
          </w:p>
        </w:tc>
        <w:tc>
          <w:tcPr>
            <w:tcW w:w="3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10,196</w:t>
            </w:r>
          </w:p>
        </w:tc>
        <w:tc>
          <w:tcPr>
            <w:tcW w:w="3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10,672</w:t>
            </w:r>
          </w:p>
        </w:tc>
      </w:tr>
      <w:tr>
        <w:trPr>
          <w:trHeight w:val="243"/>
        </w:trPr>
        <w:tc>
          <w:tcPr>
            <w:tcW w:w="4880" w:type="dxa"/>
            <w:vAlign w:val="bottom"/>
            <w:shd w:val="clear" w:color="auto" w:fill="C0C0C0"/>
          </w:tcPr>
          <w:p>
            <w:pPr>
              <w:spacing w:after="0"/>
              <w:rPr>
                <w:sz w:val="20"/>
                <w:szCs w:val="20"/>
                <w:color w:val="auto"/>
              </w:rPr>
            </w:pPr>
            <w:r>
              <w:rPr>
                <w:rFonts w:ascii="Arial" w:cs="Arial" w:eastAsia="Arial" w:hAnsi="Arial"/>
                <w:sz w:val="18"/>
                <w:szCs w:val="18"/>
                <w:color w:val="auto"/>
              </w:rPr>
              <w:t>Loans outstanding:</w:t>
            </w:r>
          </w:p>
        </w:tc>
        <w:tc>
          <w:tcPr>
            <w:tcW w:w="15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96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98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96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r>
      <w:tr>
        <w:trPr>
          <w:trHeight w:val="235"/>
        </w:trPr>
        <w:tc>
          <w:tcPr>
            <w:tcW w:w="4880" w:type="dxa"/>
            <w:vAlign w:val="bottom"/>
          </w:tcPr>
          <w:p>
            <w:pPr>
              <w:ind w:left="280"/>
              <w:spacing w:after="0"/>
              <w:rPr>
                <w:sz w:val="20"/>
                <w:szCs w:val="20"/>
                <w:color w:val="auto"/>
              </w:rPr>
            </w:pPr>
            <w:r>
              <w:rPr>
                <w:rFonts w:ascii="Arial" w:cs="Arial" w:eastAsia="Arial" w:hAnsi="Arial"/>
                <w:sz w:val="18"/>
                <w:szCs w:val="18"/>
                <w:color w:val="auto"/>
              </w:rPr>
              <w:t>Average</w:t>
            </w: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92"/>
              <w:spacing w:after="0"/>
              <w:rPr>
                <w:sz w:val="20"/>
                <w:szCs w:val="20"/>
                <w:color w:val="auto"/>
              </w:rPr>
            </w:pPr>
            <w:r>
              <w:rPr>
                <w:rFonts w:ascii="Arial" w:cs="Arial" w:eastAsia="Arial" w:hAnsi="Arial"/>
                <w:sz w:val="18"/>
                <w:szCs w:val="18"/>
                <w:color w:val="auto"/>
              </w:rPr>
              <w:t>668,040</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92"/>
              <w:spacing w:after="0"/>
              <w:rPr>
                <w:sz w:val="20"/>
                <w:szCs w:val="20"/>
                <w:color w:val="auto"/>
              </w:rPr>
            </w:pPr>
            <w:r>
              <w:rPr>
                <w:rFonts w:ascii="Arial" w:cs="Arial" w:eastAsia="Arial" w:hAnsi="Arial"/>
                <w:sz w:val="18"/>
                <w:szCs w:val="18"/>
                <w:color w:val="auto"/>
              </w:rPr>
              <w:t>692,748</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92"/>
              <w:spacing w:after="0"/>
              <w:rPr>
                <w:sz w:val="20"/>
                <w:szCs w:val="20"/>
                <w:color w:val="auto"/>
              </w:rPr>
            </w:pPr>
            <w:r>
              <w:rPr>
                <w:rFonts w:ascii="Arial" w:cs="Arial" w:eastAsia="Arial" w:hAnsi="Arial"/>
                <w:sz w:val="18"/>
                <w:szCs w:val="18"/>
                <w:color w:val="auto"/>
              </w:rPr>
              <w:t>662,299</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678,711</w:t>
            </w:r>
          </w:p>
        </w:tc>
      </w:tr>
      <w:tr>
        <w:trPr>
          <w:trHeight w:val="251"/>
        </w:trPr>
        <w:tc>
          <w:tcPr>
            <w:tcW w:w="4880" w:type="dxa"/>
            <w:vAlign w:val="bottom"/>
            <w:shd w:val="clear" w:color="auto" w:fill="C0C0C0"/>
          </w:tcPr>
          <w:p>
            <w:pPr>
              <w:ind w:left="280"/>
              <w:spacing w:after="0"/>
              <w:rPr>
                <w:sz w:val="20"/>
                <w:szCs w:val="20"/>
                <w:color w:val="auto"/>
              </w:rPr>
            </w:pPr>
            <w:r>
              <w:rPr>
                <w:rFonts w:ascii="Arial" w:cs="Arial" w:eastAsia="Arial" w:hAnsi="Arial"/>
                <w:sz w:val="18"/>
                <w:szCs w:val="18"/>
                <w:color w:val="auto"/>
              </w:rPr>
              <w:t>June 30</w:t>
            </w:r>
          </w:p>
        </w:tc>
        <w:tc>
          <w:tcPr>
            <w:tcW w:w="15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96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671,683</w:t>
            </w:r>
          </w:p>
        </w:tc>
        <w:tc>
          <w:tcPr>
            <w:tcW w:w="340" w:type="dxa"/>
            <w:vAlign w:val="bottom"/>
            <w:shd w:val="clear" w:color="auto" w:fill="C0C0C0"/>
          </w:tcPr>
          <w:p>
            <w:pPr>
              <w:spacing w:after="0"/>
              <w:rPr>
                <w:sz w:val="21"/>
                <w:szCs w:val="21"/>
                <w:color w:val="auto"/>
              </w:rPr>
            </w:pPr>
          </w:p>
        </w:tc>
        <w:tc>
          <w:tcPr>
            <w:tcW w:w="98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698,134</w:t>
            </w:r>
          </w:p>
        </w:tc>
        <w:tc>
          <w:tcPr>
            <w:tcW w:w="340" w:type="dxa"/>
            <w:vAlign w:val="bottom"/>
            <w:shd w:val="clear" w:color="auto" w:fill="C0C0C0"/>
          </w:tcPr>
          <w:p>
            <w:pPr>
              <w:spacing w:after="0"/>
              <w:rPr>
                <w:sz w:val="21"/>
                <w:szCs w:val="21"/>
                <w:color w:val="auto"/>
              </w:rPr>
            </w:pPr>
          </w:p>
        </w:tc>
        <w:tc>
          <w:tcPr>
            <w:tcW w:w="96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671,683</w:t>
            </w:r>
          </w:p>
        </w:tc>
        <w:tc>
          <w:tcPr>
            <w:tcW w:w="34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698,134</w:t>
            </w:r>
          </w:p>
        </w:tc>
      </w:tr>
      <w:tr>
        <w:trPr>
          <w:trHeight w:val="235"/>
        </w:trPr>
        <w:tc>
          <w:tcPr>
            <w:tcW w:w="4880" w:type="dxa"/>
            <w:vAlign w:val="bottom"/>
          </w:tcPr>
          <w:p>
            <w:pPr>
              <w:spacing w:after="0"/>
              <w:rPr>
                <w:sz w:val="20"/>
                <w:szCs w:val="20"/>
                <w:color w:val="auto"/>
              </w:rPr>
            </w:pPr>
            <w:r>
              <w:rPr>
                <w:rFonts w:ascii="Arial" w:cs="Arial" w:eastAsia="Arial" w:hAnsi="Arial"/>
                <w:sz w:val="18"/>
                <w:szCs w:val="18"/>
                <w:color w:val="auto"/>
              </w:rPr>
              <w:t>Ratio of ALLL to loans outstanding:</w:t>
            </w:r>
          </w:p>
        </w:tc>
        <w:tc>
          <w:tcPr>
            <w:tcW w:w="1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51"/>
        </w:trPr>
        <w:tc>
          <w:tcPr>
            <w:tcW w:w="4880" w:type="dxa"/>
            <w:vAlign w:val="bottom"/>
            <w:shd w:val="clear" w:color="auto" w:fill="C0C0C0"/>
          </w:tcPr>
          <w:p>
            <w:pPr>
              <w:ind w:left="280"/>
              <w:spacing w:after="0"/>
              <w:rPr>
                <w:sz w:val="20"/>
                <w:szCs w:val="20"/>
                <w:color w:val="auto"/>
              </w:rPr>
            </w:pPr>
            <w:r>
              <w:rPr>
                <w:rFonts w:ascii="Arial" w:cs="Arial" w:eastAsia="Arial" w:hAnsi="Arial"/>
                <w:sz w:val="18"/>
                <w:szCs w:val="18"/>
                <w:color w:val="auto"/>
              </w:rPr>
              <w:t>Average</w:t>
            </w:r>
          </w:p>
        </w:tc>
        <w:tc>
          <w:tcPr>
            <w:tcW w:w="15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9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1.53%</w:t>
            </w:r>
          </w:p>
        </w:tc>
        <w:tc>
          <w:tcPr>
            <w:tcW w:w="340" w:type="dxa"/>
            <w:vAlign w:val="bottom"/>
            <w:shd w:val="clear" w:color="auto" w:fill="C0C0C0"/>
          </w:tcPr>
          <w:p>
            <w:pPr>
              <w:spacing w:after="0"/>
              <w:rPr>
                <w:sz w:val="21"/>
                <w:szCs w:val="21"/>
                <w:color w:val="auto"/>
              </w:rPr>
            </w:pPr>
          </w:p>
        </w:tc>
        <w:tc>
          <w:tcPr>
            <w:tcW w:w="9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1.54%</w:t>
            </w:r>
          </w:p>
        </w:tc>
        <w:tc>
          <w:tcPr>
            <w:tcW w:w="340" w:type="dxa"/>
            <w:vAlign w:val="bottom"/>
            <w:shd w:val="clear" w:color="auto" w:fill="C0C0C0"/>
          </w:tcPr>
          <w:p>
            <w:pPr>
              <w:spacing w:after="0"/>
              <w:rPr>
                <w:sz w:val="21"/>
                <w:szCs w:val="21"/>
                <w:color w:val="auto"/>
              </w:rPr>
            </w:pPr>
          </w:p>
        </w:tc>
        <w:tc>
          <w:tcPr>
            <w:tcW w:w="96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1.54%</w:t>
            </w:r>
          </w:p>
        </w:tc>
        <w:tc>
          <w:tcPr>
            <w:tcW w:w="34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1.57%</w:t>
            </w:r>
          </w:p>
        </w:tc>
      </w:tr>
      <w:tr>
        <w:trPr>
          <w:trHeight w:val="235"/>
        </w:trPr>
        <w:tc>
          <w:tcPr>
            <w:tcW w:w="4880" w:type="dxa"/>
            <w:vAlign w:val="bottom"/>
          </w:tcPr>
          <w:p>
            <w:pPr>
              <w:ind w:left="280"/>
              <w:spacing w:after="0"/>
              <w:rPr>
                <w:sz w:val="20"/>
                <w:szCs w:val="20"/>
                <w:color w:val="auto"/>
              </w:rPr>
            </w:pPr>
            <w:r>
              <w:rPr>
                <w:rFonts w:ascii="Arial" w:cs="Arial" w:eastAsia="Arial" w:hAnsi="Arial"/>
                <w:sz w:val="18"/>
                <w:szCs w:val="18"/>
                <w:color w:val="auto"/>
              </w:rPr>
              <w:t>June 30</w:t>
            </w:r>
          </w:p>
        </w:tc>
        <w:tc>
          <w:tcPr>
            <w:tcW w:w="1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1.52%</w:t>
            </w:r>
          </w:p>
        </w:tc>
        <w:tc>
          <w:tcPr>
            <w:tcW w:w="340" w:type="dxa"/>
            <w:vAlign w:val="bottom"/>
          </w:tcPr>
          <w:p>
            <w:pPr>
              <w:spacing w:after="0"/>
              <w:rPr>
                <w:sz w:val="20"/>
                <w:szCs w:val="20"/>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1.53%</w:t>
            </w:r>
          </w:p>
        </w:tc>
        <w:tc>
          <w:tcPr>
            <w:tcW w:w="340" w:type="dxa"/>
            <w:vAlign w:val="bottom"/>
          </w:tcPr>
          <w:p>
            <w:pPr>
              <w:spacing w:after="0"/>
              <w:rPr>
                <w:sz w:val="20"/>
                <w:szCs w:val="20"/>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1.52%</w:t>
            </w: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51"/>
        </w:trPr>
        <w:tc>
          <w:tcPr>
            <w:tcW w:w="4880" w:type="dxa"/>
            <w:vAlign w:val="bottom"/>
            <w:shd w:val="clear" w:color="auto" w:fill="C0C0C0"/>
          </w:tcPr>
          <w:p>
            <w:pPr>
              <w:spacing w:after="0"/>
              <w:rPr>
                <w:sz w:val="20"/>
                <w:szCs w:val="20"/>
                <w:color w:val="auto"/>
              </w:rPr>
            </w:pPr>
            <w:r>
              <w:rPr>
                <w:rFonts w:ascii="Arial" w:cs="Arial" w:eastAsia="Arial" w:hAnsi="Arial"/>
                <w:sz w:val="18"/>
                <w:szCs w:val="18"/>
                <w:color w:val="auto"/>
              </w:rPr>
              <w:t>Impaired loans:</w:t>
            </w:r>
          </w:p>
        </w:tc>
        <w:tc>
          <w:tcPr>
            <w:tcW w:w="15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96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98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96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r>
      <w:tr>
        <w:trPr>
          <w:trHeight w:val="235"/>
        </w:trPr>
        <w:tc>
          <w:tcPr>
            <w:tcW w:w="4880" w:type="dxa"/>
            <w:vAlign w:val="bottom"/>
          </w:tcPr>
          <w:p>
            <w:pPr>
              <w:ind w:left="280"/>
              <w:spacing w:after="0"/>
              <w:rPr>
                <w:sz w:val="20"/>
                <w:szCs w:val="20"/>
                <w:color w:val="auto"/>
              </w:rPr>
            </w:pPr>
            <w:r>
              <w:rPr>
                <w:rFonts w:ascii="Arial" w:cs="Arial" w:eastAsia="Arial" w:hAnsi="Arial"/>
                <w:sz w:val="18"/>
                <w:szCs w:val="18"/>
                <w:color w:val="auto"/>
              </w:rPr>
              <w:t>Nonaccrual loans</w:t>
            </w: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92"/>
              <w:spacing w:after="0"/>
              <w:rPr>
                <w:sz w:val="20"/>
                <w:szCs w:val="20"/>
                <w:color w:val="auto"/>
              </w:rPr>
            </w:pPr>
            <w:r>
              <w:rPr>
                <w:rFonts w:ascii="Arial" w:cs="Arial" w:eastAsia="Arial" w:hAnsi="Arial"/>
                <w:sz w:val="18"/>
                <w:szCs w:val="18"/>
                <w:color w:val="auto"/>
              </w:rPr>
              <w:t>219</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92"/>
              <w:spacing w:after="0"/>
              <w:rPr>
                <w:sz w:val="20"/>
                <w:szCs w:val="20"/>
                <w:color w:val="auto"/>
              </w:rPr>
            </w:pPr>
            <w:r>
              <w:rPr>
                <w:rFonts w:ascii="Arial" w:cs="Arial" w:eastAsia="Arial" w:hAnsi="Arial"/>
                <w:sz w:val="18"/>
                <w:szCs w:val="18"/>
                <w:color w:val="auto"/>
              </w:rPr>
              <w:t>362</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92"/>
              <w:spacing w:after="0"/>
              <w:rPr>
                <w:sz w:val="20"/>
                <w:szCs w:val="20"/>
                <w:color w:val="auto"/>
              </w:rPr>
            </w:pPr>
            <w:r>
              <w:rPr>
                <w:rFonts w:ascii="Arial" w:cs="Arial" w:eastAsia="Arial" w:hAnsi="Arial"/>
                <w:sz w:val="18"/>
                <w:szCs w:val="18"/>
                <w:color w:val="auto"/>
              </w:rPr>
              <w:t>219</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362</w:t>
            </w:r>
          </w:p>
        </w:tc>
      </w:tr>
      <w:tr>
        <w:trPr>
          <w:trHeight w:val="251"/>
        </w:trPr>
        <w:tc>
          <w:tcPr>
            <w:tcW w:w="4880" w:type="dxa"/>
            <w:vAlign w:val="bottom"/>
            <w:shd w:val="clear" w:color="auto" w:fill="C0C0C0"/>
          </w:tcPr>
          <w:p>
            <w:pPr>
              <w:ind w:left="280"/>
              <w:spacing w:after="0"/>
              <w:rPr>
                <w:sz w:val="20"/>
                <w:szCs w:val="20"/>
                <w:color w:val="auto"/>
              </w:rPr>
            </w:pPr>
            <w:r>
              <w:rPr>
                <w:rFonts w:ascii="Arial" w:cs="Arial" w:eastAsia="Arial" w:hAnsi="Arial"/>
                <w:sz w:val="18"/>
                <w:szCs w:val="18"/>
                <w:color w:val="auto"/>
              </w:rPr>
              <w:t>Loans past due 90 days or more</w:t>
            </w:r>
          </w:p>
        </w:tc>
        <w:tc>
          <w:tcPr>
            <w:tcW w:w="15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96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w:t>
            </w:r>
          </w:p>
        </w:tc>
        <w:tc>
          <w:tcPr>
            <w:tcW w:w="340" w:type="dxa"/>
            <w:vAlign w:val="bottom"/>
            <w:shd w:val="clear" w:color="auto" w:fill="C0C0C0"/>
          </w:tcPr>
          <w:p>
            <w:pPr>
              <w:spacing w:after="0"/>
              <w:rPr>
                <w:sz w:val="21"/>
                <w:szCs w:val="21"/>
                <w:color w:val="auto"/>
              </w:rPr>
            </w:pPr>
          </w:p>
        </w:tc>
        <w:tc>
          <w:tcPr>
            <w:tcW w:w="98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w:t>
            </w:r>
          </w:p>
        </w:tc>
        <w:tc>
          <w:tcPr>
            <w:tcW w:w="340" w:type="dxa"/>
            <w:vAlign w:val="bottom"/>
            <w:shd w:val="clear" w:color="auto" w:fill="C0C0C0"/>
          </w:tcPr>
          <w:p>
            <w:pPr>
              <w:spacing w:after="0"/>
              <w:rPr>
                <w:sz w:val="21"/>
                <w:szCs w:val="21"/>
                <w:color w:val="auto"/>
              </w:rPr>
            </w:pPr>
          </w:p>
        </w:tc>
        <w:tc>
          <w:tcPr>
            <w:tcW w:w="96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w:t>
            </w:r>
          </w:p>
        </w:tc>
        <w:tc>
          <w:tcPr>
            <w:tcW w:w="34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w:t>
            </w:r>
          </w:p>
        </w:tc>
      </w:tr>
      <w:tr>
        <w:trPr>
          <w:trHeight w:val="237"/>
        </w:trPr>
        <w:tc>
          <w:tcPr>
            <w:tcW w:w="488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Troubled debt restructurings</w:t>
            </w:r>
          </w:p>
        </w:tc>
        <w:tc>
          <w:tcPr>
            <w:tcW w:w="15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r>
      <w:tr>
        <w:trPr>
          <w:trHeight w:val="243"/>
        </w:trPr>
        <w:tc>
          <w:tcPr>
            <w:tcW w:w="4880" w:type="dxa"/>
            <w:vAlign w:val="bottom"/>
            <w:shd w:val="clear" w:color="auto" w:fill="C0C0C0"/>
          </w:tcPr>
          <w:p>
            <w:pPr>
              <w:ind w:left="540"/>
              <w:spacing w:after="0"/>
              <w:rPr>
                <w:sz w:val="20"/>
                <w:szCs w:val="20"/>
                <w:color w:val="auto"/>
              </w:rPr>
            </w:pPr>
            <w:r>
              <w:rPr>
                <w:rFonts w:ascii="Arial" w:cs="Arial" w:eastAsia="Arial" w:hAnsi="Arial"/>
                <w:sz w:val="18"/>
                <w:szCs w:val="18"/>
                <w:color w:val="auto"/>
              </w:rPr>
              <w:t>Total impaired loans</w:t>
            </w:r>
          </w:p>
        </w:tc>
        <w:tc>
          <w:tcPr>
            <w:tcW w:w="178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219</w:t>
            </w:r>
          </w:p>
        </w:tc>
        <w:tc>
          <w:tcPr>
            <w:tcW w:w="3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98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362</w:t>
            </w:r>
          </w:p>
        </w:tc>
        <w:tc>
          <w:tcPr>
            <w:tcW w:w="3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96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219</w:t>
            </w:r>
          </w:p>
        </w:tc>
        <w:tc>
          <w:tcPr>
            <w:tcW w:w="3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362</w:t>
            </w:r>
          </w:p>
        </w:tc>
      </w:tr>
      <w:tr>
        <w:trPr>
          <w:trHeight w:val="237"/>
        </w:trPr>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Foreclosed assets</w:t>
            </w:r>
          </w:p>
        </w:tc>
        <w:tc>
          <w:tcPr>
            <w:tcW w:w="17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r>
      <w:tr>
        <w:trPr>
          <w:trHeight w:val="237"/>
        </w:trPr>
        <w:tc>
          <w:tcPr>
            <w:tcW w:w="488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Impaired loans as percentage of average loans</w:t>
            </w:r>
          </w:p>
        </w:tc>
        <w:tc>
          <w:tcPr>
            <w:tcW w:w="1580" w:type="dxa"/>
            <w:vAlign w:val="bottom"/>
            <w:tcBorders>
              <w:bottom w:val="single" w:sz="8" w:color="auto"/>
            </w:tcBorders>
            <w:shd w:val="clear" w:color="auto" w:fill="C0C0C0"/>
          </w:tcPr>
          <w:p>
            <w:pPr>
              <w:spacing w:after="0"/>
              <w:rPr>
                <w:sz w:val="20"/>
                <w:szCs w:val="20"/>
                <w:color w:val="auto"/>
              </w:rPr>
            </w:pPr>
          </w:p>
        </w:tc>
        <w:tc>
          <w:tcPr>
            <w:tcW w:w="200" w:type="dxa"/>
            <w:vAlign w:val="bottom"/>
            <w:tcBorders>
              <w:bottom w:val="single" w:sz="8" w:color="auto"/>
            </w:tcBorders>
            <w:shd w:val="clear" w:color="auto" w:fill="C0C0C0"/>
          </w:tcPr>
          <w:p>
            <w:pPr>
              <w:spacing w:after="0"/>
              <w:rPr>
                <w:sz w:val="20"/>
                <w:szCs w:val="20"/>
                <w:color w:val="auto"/>
              </w:rPr>
            </w:pPr>
          </w:p>
        </w:tc>
        <w:tc>
          <w:tcPr>
            <w:tcW w:w="96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.03%</w:t>
            </w:r>
          </w:p>
        </w:tc>
        <w:tc>
          <w:tcPr>
            <w:tcW w:w="340" w:type="dxa"/>
            <w:vAlign w:val="bottom"/>
            <w:tcBorders>
              <w:bottom w:val="single" w:sz="8" w:color="auto"/>
            </w:tcBorders>
            <w:shd w:val="clear" w:color="auto" w:fill="C0C0C0"/>
          </w:tcPr>
          <w:p>
            <w:pPr>
              <w:spacing w:after="0"/>
              <w:rPr>
                <w:sz w:val="20"/>
                <w:szCs w:val="20"/>
                <w:color w:val="auto"/>
              </w:rPr>
            </w:pPr>
          </w:p>
        </w:tc>
        <w:tc>
          <w:tcPr>
            <w:tcW w:w="98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.05%</w:t>
            </w:r>
          </w:p>
        </w:tc>
        <w:tc>
          <w:tcPr>
            <w:tcW w:w="340" w:type="dxa"/>
            <w:vAlign w:val="bottom"/>
            <w:tcBorders>
              <w:bottom w:val="single" w:sz="8" w:color="auto"/>
            </w:tcBorders>
            <w:shd w:val="clear" w:color="auto" w:fill="C0C0C0"/>
          </w:tcPr>
          <w:p>
            <w:pPr>
              <w:spacing w:after="0"/>
              <w:rPr>
                <w:sz w:val="20"/>
                <w:szCs w:val="20"/>
                <w:color w:val="auto"/>
              </w:rPr>
            </w:pPr>
          </w:p>
        </w:tc>
        <w:tc>
          <w:tcPr>
            <w:tcW w:w="96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.03%</w:t>
            </w:r>
          </w:p>
        </w:tc>
        <w:tc>
          <w:tcPr>
            <w:tcW w:w="340" w:type="dxa"/>
            <w:vAlign w:val="bottom"/>
            <w:tcBorders>
              <w:bottom w:val="single" w:sz="8" w:color="auto"/>
            </w:tcBorders>
            <w:shd w:val="clear" w:color="auto" w:fill="C0C0C0"/>
          </w:tcPr>
          <w:p>
            <w:pPr>
              <w:spacing w:after="0"/>
              <w:rPr>
                <w:sz w:val="20"/>
                <w:szCs w:val="20"/>
                <w:color w:val="auto"/>
              </w:rPr>
            </w:pPr>
          </w:p>
        </w:tc>
        <w:tc>
          <w:tcPr>
            <w:tcW w:w="8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.05%</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Bank had no property carried as other real estate owned as of June 30, 2017 or December 31, 2016.</w:t>
      </w:r>
    </w:p>
    <w:p>
      <w:pPr>
        <w:spacing w:after="0" w:line="22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Operating Expenses</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Total operating expenses for the Second Quarter of 2017 were up 8.0%, or $1,842,000, compared to the Second Quarter of 2016 and were up $3,244,000 for the First Half of 2017 compared to the First Half of 2016.</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Personnel expense for the Second Quarter of 2017 increased $1,060,000 compared to the Second Quarter of 2016 and increased $2,013,000 to $37,961,000 for the First Half of 2017 compared to the First Half of 2016 due to strategic investment in staff and technology to win and support new business, annual salary merit increases, and increased retirement plan costs.</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Outside service expense for the Second Quarter of 2017 increased $492,000, or 35.6%, compared to the Second Quarter of 2016 and $1,047,000, or 42.4%, for the First Half of 2017 compared to the First Half of 2016. This increase was due to new strategic partnerships and professional costs associated with an acquisition.</w:t>
      </w:r>
    </w:p>
    <w:p>
      <w:pPr>
        <w:spacing w:after="0" w:line="19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Equipment expense for the Second Quarter of 2017 increased $90,000, or 8.1%, compared to the Second Quarter of 2016 and $339,000, or 15.7%, for the First Half of 2017 from the First Half of 2016. This increase was the result of the continued strategic investment in technology.</w:t>
      </w:r>
    </w:p>
    <w:p>
      <w:pPr>
        <w:spacing w:after="0" w:line="18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 xml:space="preserve">Income tax expense for the Second Quarter of 2017 increased $213,000 compared to the Second Quarter of 2016 and decreased $142,000 for the First Half of 2017 compared to the First Half of 2016. The effective tax rate was 25.7% for both the Second Quarters of 2017 and 2016 and was 23.4% and 25.7% for the First Halves of 2017 and 2016, respectively. The decrease in the First Half 2017 tax was the result of the adoption of ASU No. 2016-09 – </w:t>
      </w:r>
      <w:r>
        <w:rPr>
          <w:rFonts w:ascii="Arial" w:cs="Arial" w:eastAsia="Arial" w:hAnsi="Arial"/>
          <w:sz w:val="16"/>
          <w:szCs w:val="16"/>
          <w:i w:val="1"/>
          <w:iCs w:val="1"/>
          <w:color w:val="auto"/>
        </w:rPr>
        <w:t>Stock Compensation (Topic</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718): Improvements to Employee Share-Based Payment Accounting </w:t>
      </w:r>
      <w:r>
        <w:rPr>
          <w:rFonts w:ascii="Arial" w:cs="Arial" w:eastAsia="Arial" w:hAnsi="Arial"/>
          <w:sz w:val="16"/>
          <w:szCs w:val="16"/>
          <w:color w:val="auto"/>
        </w:rPr>
        <w:t>along with credits for the continued strategic investment in technology.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Total assets at June 30, 2017 were $1,593,282,000, an increase of $88,443,000, or 5.9%, from December 31, 2016. The most significant changes in asset balances during this period were an increase of $41,427,000 in investment securities and an increase of $34,317,000 in cash and cash equivalents. Changes in cash and cash equivalents reflect the Company’s daily liquidity position and are affected by the changes in the other asset balances and changes in deposit and accounts and drafts payable balances.</w:t>
      </w:r>
    </w:p>
    <w:p>
      <w:pPr>
        <w:spacing w:after="0" w:line="19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Total liabilities at June 30, 2017 were $1,371,924,000, an increase of $75,120,000, or 5.8%, from December 31, 2016. Accounts and drafts payable at June 30, 2017 were $729,403,000, an increase of $87,116,000, or 13.6%. Total deposits decreased $16,922,000, or 2.7%, from December 31, 2016. Total shareholders’ equity at June 30, 2017 was $221,358,000, a $13,323,000, or 6.4%, increase from December 31, 2016.</w:t>
      </w:r>
    </w:p>
    <w:p>
      <w:pPr>
        <w:spacing w:after="0" w:line="16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Accounts and drafts payable will fluctuate from period-end to period-end due to the payment processing cycle, which results in lower balances on days when payments clear and higher balances on days when payments are issued. For this reason, average balances are a more meaningful measure of accounts and drafts payable (for average balances refer to the tables under the “Distribution of Assets, Liabilities and Shareholders’ Equity; Interest Rate and Interest Differential” section of this report).</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increase in total shareholders’ equity of $13,323,000 resulted primarily from net income of $12,820,000 and a decrease of $5,347,000 in accumulated other comprehensive loss. These were offset by dividends paid of $5,151,000.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balance of liquid assets consists of cash and cash equivalents, which include cash and due from banks, interest-bearing deposits in other financial institutions, federal funds sold and other short-term investments was $301,060,000 at June 30, 2017, an increase of $34,317,000, or 12.9%, from December 31, 2016. At June 30, 2017, these assets represented 18.9% of total assets. These funds are the Company’s and its subsidiaries’ primary source of liquidity to meet future expected and unexpected loan demand, depositor withdrawals or reductions in accounts and drafts payable.</w:t>
      </w:r>
    </w:p>
    <w:p>
      <w:pPr>
        <w:spacing w:after="0" w:line="16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Secondary sources of liquidity include the investment portfolio and borrowing lines. Total investment in securities was $431,979,000 at June 30, 2017, an increase of $41,427,000 from December 31, 2016. These assets represented 27.1% of total assets at June 30, 2017. Of this total, 96% were state and political subdivision securities. Of the total portfolio, 4.0% mature in one year or less, 14.2% mature in one to five years, and 81.8% mature in five or more years.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6" w:name="page27"/>
    <w:bookmarkEnd w:id="26"/>
    <w:p>
      <w:pPr>
        <w:jc w:val="both"/>
        <w:spacing w:after="0" w:line="294" w:lineRule="auto"/>
        <w:rPr>
          <w:sz w:val="20"/>
          <w:szCs w:val="20"/>
          <w:color w:val="auto"/>
        </w:rPr>
      </w:pPr>
      <w:r>
        <w:rPr>
          <w:rFonts w:ascii="Arial" w:cs="Arial" w:eastAsia="Arial" w:hAnsi="Arial"/>
          <w:sz w:val="16"/>
          <w:szCs w:val="16"/>
          <w:color w:val="auto"/>
        </w:rPr>
        <w:t>The Bank has unsecured lines of credit at correspondent banks to purchase federal funds up to a maximum of $68,000,000 at the following banks: US Bank, $20,000,000; Wells Fargo Bank, $15,000,000; Frost National Bank, $10,000,000; PNC Bank, $12,000,000; UMB Bank, $5,000,000; and JPM Chase Bank, $6,000,000. The Bank also has secured lines of credit with the Federal Home Loan Bank of $215,010,000 collateralized by commercial mortgage loans. The Company also has secured lines of credit with UMB Bank of $50,000,000 and First Tennessee Bank of $50,000,000 collateralized by state and political subdivision securities. There were no amounts outstanding under any line of credit as of June 30, 2017 or December 31, 2016.</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deposits of the Company’s banking subsidiary have historically been stable, consisting of a sizable volume of core deposits related to customers that utilize other commercial products of the Bank. The accounts and drafts payable generated by the Company has also historically been a stable source of funds. The Company is part of the Certificate of Deposit Account Registry Service (“CDARS”) and Insured Cash Sweep (“ICS”) deposit placement programs. Time deposits include $29,346,000 of CDARS deposits and interest-bearing demand deposits include $74,498,000 of ICS deposits. These programs offer the Bank’s customers the ability to maximize Federal Deposit Insurance Corporation (“FDIC”) insurance coverage. The Company uses these programs to retain or attract deposits from existing customers.</w:t>
      </w:r>
    </w:p>
    <w:p>
      <w:pPr>
        <w:spacing w:after="0" w:line="19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Net cash flows provided by operating activities were $21,468,000 for the First Half of 2017, compared with $17,752,000 for the First Half of 2016, an increase of $3,716,000. Net cash flows from investing and financing activities fluctuate greatly as the Company actively manages its investment and loan portfolios and customer activity influences changes in deposit and accounts and drafts payable balances. Other causes for the changes in these account balances are discussed earlier in this report. Due to the daily fluctuations in these account balances, the analysis of changes in average balances, also discussed earlier in this report, can be more indicative of underlying activity than the period-end balances used in the statements of cash flows. Management anticipates that cash and cash equivalents, maturing investments and cash from operations will continue to be sufficient to fund the Company’s operations and capital expenditures in 2017, which are estimated to range from $5 million to $7 million.</w:t>
      </w:r>
    </w:p>
    <w:p>
      <w:pPr>
        <w:spacing w:after="0" w:line="172"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The Company faces market risk to the extent that its net interest income and fair market value of equity are affected by changes in market interest rates. For information regarding the market risk of the Company’s financial instruments, see Item 3, “Quantitative and Qualitative Disclosures about Market Risk.”</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are several trends and uncertainties that may impact the Company’s ability to generate revenues and income at the levels that it has in the past. In addition, these trends and uncertainties may impact available liquidity. Those that could significantly impact the Company include the general levels of interest rates, business activity, and energy costs as well as new business opportunities available to the Company.</w:t>
      </w:r>
    </w:p>
    <w:p>
      <w:pPr>
        <w:spacing w:after="0" w:line="19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As a financial institution, a significant source of the Company’s earnings is generated from net interest income. Therefore, the prevailing interest rate environment is important to the Company’s performance. A major portion of the Company’s funding sources are the non-interest bearing accounts and drafts payable generated from its payment and information processing services. Accordingly, higher levels of interest rates will generally allow the Company to earn more net interest income. Conversely, a lower interest rate environment will generally tend to depress net interest income. The Company actively manages its balance sheet in an effort to maximize net interest income as the interest rate environment changes. This balance sheet management impacts the mix of earning assets maintained by the Company at any point in time. For example, in a low interest rate environment, short-term relatively lower rate liquid investments may be reduced in favor of longer-term relatively higher yielding investments and loans. If the primary source of liquidity is reduced in a low interest rate environment, a greater reliance would be placed on secondary sources of liquidity including borrowing lines, the ability of the Bank to generate deposits, and the investment portfolio to ensure overall liquidity remains at acceptable levels.</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overall level of economic activity can have a significant impact on the Company’s ability to generate revenues and income, as the volume and size of customer invoices processed may increase or decrease. Higher levels of economic activity increase both fee income (as more invoices are processed) and balances of accounts and drafts payable.</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relative level of energy costs can impact the Company’s earnings and available liquidity. Lower levels of energy costs will tend to decrease transportation and energy invoice amounts resulting in a corresponding decrease in accounts and drafts payable. Decreases in accounts and drafts payable generate lower interest income and reduce liquidity.</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New business opportunities are an important component of the Company’s strategy to grow earnings and improve performance. Generating new customers allows the Company to leverage existing systems and facilities and grow revenues faster than expenses.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jc w:val="both"/>
        <w:spacing w:after="0" w:line="259" w:lineRule="auto"/>
        <w:rPr>
          <w:sz w:val="20"/>
          <w:szCs w:val="20"/>
          <w:color w:val="auto"/>
        </w:rPr>
      </w:pPr>
      <w:r>
        <w:rPr>
          <w:rFonts w:ascii="Arial" w:cs="Arial" w:eastAsia="Arial" w:hAnsi="Arial"/>
          <w:sz w:val="18"/>
          <w:szCs w:val="18"/>
          <w:color w:val="auto"/>
        </w:rPr>
        <w:t>The Basel III Capital Rules require FDIC insured depository institutions to meet and maintain several minimum capital standards: a common equity Tier 1 capital to risk-based assets ratio of 4.5%, a Tier 1 capital to risk-based assets ratio of 6.0%, a total capital to risk-based assets of 8%, and a 4% Tier 1 capital to total assets leverage ratio.</w:t>
      </w:r>
    </w:p>
    <w:p>
      <w:pPr>
        <w:spacing w:after="0" w:line="19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Common equity Tier 1 capital is generally defined as common stockholders’ equity and retained earnings. Tier 1 capital is generally defined as common equity Tier 1 and Additional Tier 1 capital. Additional Tier 1 capital generally includes certain noncumulative perpetual preferred stock and related surplus and minority interests in equity accounts of consolidated subsidiaries. Total capital includes Tier 1 capital (common equity Tier 1 capital plus Additional Tier 1 capital) and Tier 2 capital. Tier 2 capital is comprised of capital instruments and related surplus meeting specified requirements. Also included in Tier 2 capital is the allowance for loan losses limited to a maximum of 1.25% of risk-weighted assets and, for institutions like Cass, that have exercised an opt-out election regarding the treatment of Accumulated Other Comprehensive Income, up to 45% of net unrealized gains on available-for-sale equity securities with readily determinable fair market values. The calculation of all types of regulatory capital is subject to deductions and adjustments specified in applicable regulations.</w:t>
      </w:r>
    </w:p>
    <w:p>
      <w:pPr>
        <w:spacing w:after="0" w:line="17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 addition to establishing the minimum regulatory capital requirements, the Basel III Capital Rules limit capital distributions and certain discretionary bonus payments to management if the institution does not hold a “capital conservation buffer” consisting of 2.5% of common equity Tier 1 capital to risk-weighted assets above the amount necessary to meet its minimum risk-based capital requirements. The capital conservation buffer requirement is being phased in beginning January 1, 2016 at 0.625% of risk-weighted assets and increasing each year until fully implemented at 2.5% on January 1, 2019.</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Company and the Bank continue to exceed all regulatory capital requirements, as evidenced by the following capital amounts and ratios: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gridSpan w:val="3"/>
          </w:tcPr>
          <w:p>
            <w:pPr>
              <w:ind w:left="340"/>
              <w:spacing w:after="0"/>
              <w:rPr>
                <w:sz w:val="20"/>
                <w:szCs w:val="20"/>
                <w:color w:val="auto"/>
              </w:rPr>
            </w:pPr>
            <w:r>
              <w:rPr>
                <w:rFonts w:ascii="Arial" w:cs="Arial" w:eastAsia="Arial" w:hAnsi="Arial"/>
                <w:sz w:val="18"/>
                <w:szCs w:val="18"/>
                <w:b w:val="1"/>
                <w:bCs w:val="1"/>
                <w:color w:val="auto"/>
              </w:rPr>
              <w:t>June 30, 2017</w:t>
            </w:r>
          </w:p>
        </w:tc>
        <w:tc>
          <w:tcPr>
            <w:tcW w:w="120" w:type="dxa"/>
            <w:vAlign w:val="bottom"/>
          </w:tcPr>
          <w:p>
            <w:pPr>
              <w:spacing w:after="0"/>
              <w:rPr>
                <w:sz w:val="20"/>
                <w:szCs w:val="20"/>
                <w:color w:val="auto"/>
              </w:rPr>
            </w:pPr>
          </w:p>
        </w:tc>
        <w:tc>
          <w:tcPr>
            <w:tcW w:w="1820" w:type="dxa"/>
            <w:vAlign w:val="bottom"/>
            <w:gridSpan w:val="2"/>
          </w:tcPr>
          <w:p>
            <w:pPr>
              <w:jc w:val="right"/>
              <w:ind w:right="172"/>
              <w:spacing w:after="0"/>
              <w:rPr>
                <w:sz w:val="20"/>
                <w:szCs w:val="20"/>
                <w:color w:val="auto"/>
              </w:rPr>
            </w:pPr>
            <w:r>
              <w:rPr>
                <w:rFonts w:ascii="Arial" w:cs="Arial" w:eastAsia="Arial" w:hAnsi="Arial"/>
                <w:sz w:val="18"/>
                <w:szCs w:val="18"/>
                <w:b w:val="1"/>
                <w:bCs w:val="1"/>
                <w:color w:val="auto"/>
                <w:w w:val="94"/>
              </w:rPr>
              <w:t>December 31, 2016</w:t>
            </w:r>
          </w:p>
        </w:tc>
      </w:tr>
      <w:tr>
        <w:trPr>
          <w:trHeight w:val="237"/>
        </w:trPr>
        <w:tc>
          <w:tcPr>
            <w:tcW w:w="7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(Dollars in thousands)</w:t>
            </w:r>
          </w:p>
        </w:tc>
        <w:tc>
          <w:tcPr>
            <w:tcW w:w="1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w w:val="91"/>
              </w:rPr>
              <w:t>Amount</w:t>
            </w:r>
          </w:p>
        </w:tc>
        <w:tc>
          <w:tcPr>
            <w:tcW w:w="82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Ratio</w:t>
            </w:r>
          </w:p>
        </w:tc>
        <w:tc>
          <w:tcPr>
            <w:tcW w:w="260" w:type="dxa"/>
            <w:vAlign w:val="bottom"/>
            <w:tcBorders>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w w:val="91"/>
              </w:rPr>
              <w:t>Amount</w:t>
            </w:r>
          </w:p>
        </w:tc>
        <w:tc>
          <w:tcPr>
            <w:tcW w:w="82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Ratio</w:t>
            </w:r>
          </w:p>
        </w:tc>
      </w:tr>
      <w:tr>
        <w:trPr>
          <w:trHeight w:val="243"/>
        </w:trPr>
        <w:tc>
          <w:tcPr>
            <w:tcW w:w="7280" w:type="dxa"/>
            <w:vAlign w:val="bottom"/>
            <w:shd w:val="clear" w:color="auto" w:fill="C0C0C0"/>
          </w:tcPr>
          <w:p>
            <w:pPr>
              <w:spacing w:after="0"/>
              <w:rPr>
                <w:sz w:val="20"/>
                <w:szCs w:val="20"/>
                <w:color w:val="auto"/>
              </w:rPr>
            </w:pPr>
            <w:r>
              <w:rPr>
                <w:rFonts w:ascii="Arial" w:cs="Arial" w:eastAsia="Arial" w:hAnsi="Arial"/>
                <w:sz w:val="18"/>
                <w:szCs w:val="18"/>
                <w:color w:val="auto"/>
              </w:rPr>
              <w:t>Total capital (to risk-weighted assets)</w:t>
            </w:r>
          </w:p>
        </w:tc>
        <w:tc>
          <w:tcPr>
            <w:tcW w:w="120" w:type="dxa"/>
            <w:vAlign w:val="bottom"/>
            <w:shd w:val="clear" w:color="auto" w:fill="C0C0C0"/>
          </w:tcPr>
          <w:p>
            <w:pPr>
              <w:spacing w:after="0"/>
              <w:rPr>
                <w:sz w:val="21"/>
                <w:szCs w:val="21"/>
                <w:color w:val="auto"/>
              </w:rPr>
            </w:pPr>
          </w:p>
        </w:tc>
        <w:tc>
          <w:tcPr>
            <w:tcW w:w="100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0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r>
      <w:tr>
        <w:trPr>
          <w:trHeight w:val="235"/>
        </w:trPr>
        <w:tc>
          <w:tcPr>
            <w:tcW w:w="7280" w:type="dxa"/>
            <w:vAlign w:val="bottom"/>
          </w:tcPr>
          <w:p>
            <w:pPr>
              <w:ind w:left="280"/>
              <w:spacing w:after="0"/>
              <w:rPr>
                <w:sz w:val="20"/>
                <w:szCs w:val="20"/>
                <w:color w:val="auto"/>
              </w:rPr>
            </w:pPr>
            <w:r>
              <w:rPr>
                <w:rFonts w:ascii="Arial" w:cs="Arial" w:eastAsia="Arial" w:hAnsi="Arial"/>
                <w:sz w:val="18"/>
                <w:szCs w:val="18"/>
                <w:color w:val="auto"/>
              </w:rPr>
              <w:t>Cass Information Systems, Inc.</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226,291</w:t>
            </w:r>
          </w:p>
        </w:tc>
        <w:tc>
          <w:tcPr>
            <w:tcW w:w="820" w:type="dxa"/>
            <w:vAlign w:val="bottom"/>
          </w:tcPr>
          <w:p>
            <w:pPr>
              <w:jc w:val="right"/>
              <w:spacing w:after="0"/>
              <w:rPr>
                <w:sz w:val="20"/>
                <w:szCs w:val="20"/>
                <w:color w:val="auto"/>
              </w:rPr>
            </w:pPr>
            <w:r>
              <w:rPr>
                <w:rFonts w:ascii="Arial" w:cs="Arial" w:eastAsia="Arial" w:hAnsi="Arial"/>
                <w:sz w:val="18"/>
                <w:szCs w:val="18"/>
                <w:color w:val="auto"/>
              </w:rPr>
              <w:t>22.98%</w:t>
            </w:r>
          </w:p>
        </w:tc>
        <w:tc>
          <w:tcPr>
            <w:tcW w:w="2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219,747</w:t>
            </w:r>
          </w:p>
        </w:tc>
        <w:tc>
          <w:tcPr>
            <w:tcW w:w="820" w:type="dxa"/>
            <w:vAlign w:val="bottom"/>
          </w:tcPr>
          <w:p>
            <w:pPr>
              <w:jc w:val="right"/>
              <w:spacing w:after="0"/>
              <w:rPr>
                <w:sz w:val="20"/>
                <w:szCs w:val="20"/>
                <w:color w:val="auto"/>
              </w:rPr>
            </w:pPr>
            <w:r>
              <w:rPr>
                <w:rFonts w:ascii="Arial" w:cs="Arial" w:eastAsia="Arial" w:hAnsi="Arial"/>
                <w:sz w:val="18"/>
                <w:szCs w:val="18"/>
                <w:color w:val="auto"/>
              </w:rPr>
              <w:t>22.75%</w:t>
            </w:r>
          </w:p>
        </w:tc>
      </w:tr>
      <w:tr>
        <w:trPr>
          <w:trHeight w:val="251"/>
        </w:trPr>
        <w:tc>
          <w:tcPr>
            <w:tcW w:w="7280" w:type="dxa"/>
            <w:vAlign w:val="bottom"/>
            <w:shd w:val="clear" w:color="auto" w:fill="C0C0C0"/>
          </w:tcPr>
          <w:p>
            <w:pPr>
              <w:ind w:left="280"/>
              <w:spacing w:after="0"/>
              <w:rPr>
                <w:sz w:val="20"/>
                <w:szCs w:val="20"/>
                <w:color w:val="auto"/>
              </w:rPr>
            </w:pPr>
            <w:r>
              <w:rPr>
                <w:rFonts w:ascii="Arial" w:cs="Arial" w:eastAsia="Arial" w:hAnsi="Arial"/>
                <w:sz w:val="18"/>
                <w:szCs w:val="18"/>
                <w:color w:val="auto"/>
              </w:rPr>
              <w:t>Cass Commercial Bank</w:t>
            </w:r>
          </w:p>
        </w:tc>
        <w:tc>
          <w:tcPr>
            <w:tcW w:w="120" w:type="dxa"/>
            <w:vAlign w:val="bottom"/>
            <w:shd w:val="clear" w:color="auto" w:fill="C0C0C0"/>
          </w:tcPr>
          <w:p>
            <w:pPr>
              <w:spacing w:after="0"/>
              <w:rPr>
                <w:sz w:val="21"/>
                <w:szCs w:val="21"/>
                <w:color w:val="auto"/>
              </w:rPr>
            </w:pPr>
          </w:p>
        </w:tc>
        <w:tc>
          <w:tcPr>
            <w:tcW w:w="100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115,663</w:t>
            </w: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16.91%</w:t>
            </w:r>
          </w:p>
        </w:tc>
        <w:tc>
          <w:tcPr>
            <w:tcW w:w="2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0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110,576</w:t>
            </w: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16.72%</w:t>
            </w:r>
          </w:p>
        </w:tc>
      </w:tr>
      <w:tr>
        <w:trPr>
          <w:trHeight w:val="235"/>
        </w:trPr>
        <w:tc>
          <w:tcPr>
            <w:tcW w:w="7280" w:type="dxa"/>
            <w:vAlign w:val="bottom"/>
          </w:tcPr>
          <w:p>
            <w:pPr>
              <w:spacing w:after="0"/>
              <w:rPr>
                <w:sz w:val="20"/>
                <w:szCs w:val="20"/>
                <w:color w:val="auto"/>
              </w:rPr>
            </w:pPr>
            <w:r>
              <w:rPr>
                <w:rFonts w:ascii="Arial" w:cs="Arial" w:eastAsia="Arial" w:hAnsi="Arial"/>
                <w:sz w:val="18"/>
                <w:szCs w:val="18"/>
                <w:color w:val="auto"/>
              </w:rPr>
              <w:t>Common Equity Tier I Capital (to risk-weighted assets)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51"/>
        </w:trPr>
        <w:tc>
          <w:tcPr>
            <w:tcW w:w="7280" w:type="dxa"/>
            <w:vAlign w:val="bottom"/>
            <w:shd w:val="clear" w:color="auto" w:fill="C0C0C0"/>
          </w:tcPr>
          <w:p>
            <w:pPr>
              <w:ind w:left="280"/>
              <w:spacing w:after="0"/>
              <w:rPr>
                <w:sz w:val="20"/>
                <w:szCs w:val="20"/>
                <w:color w:val="auto"/>
              </w:rPr>
            </w:pPr>
            <w:r>
              <w:rPr>
                <w:rFonts w:ascii="Arial" w:cs="Arial" w:eastAsia="Arial" w:hAnsi="Arial"/>
                <w:sz w:val="18"/>
                <w:szCs w:val="18"/>
                <w:color w:val="auto"/>
              </w:rPr>
              <w:t>Cass Information Systems, Inc.</w:t>
            </w:r>
          </w:p>
        </w:tc>
        <w:tc>
          <w:tcPr>
            <w:tcW w:w="12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216,095</w:t>
            </w: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21.94%</w:t>
            </w:r>
          </w:p>
        </w:tc>
        <w:tc>
          <w:tcPr>
            <w:tcW w:w="260" w:type="dxa"/>
            <w:vAlign w:val="bottom"/>
            <w:shd w:val="clear" w:color="auto" w:fill="C0C0C0"/>
          </w:tcPr>
          <w:p>
            <w:pPr>
              <w:spacing w:after="0"/>
              <w:rPr>
                <w:sz w:val="21"/>
                <w:szCs w:val="21"/>
                <w:color w:val="auto"/>
              </w:rPr>
            </w:pPr>
          </w:p>
        </w:tc>
        <w:tc>
          <w:tcPr>
            <w:tcW w:w="12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209,572</w:t>
            </w: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21.70%</w:t>
            </w:r>
          </w:p>
        </w:tc>
      </w:tr>
      <w:tr>
        <w:trPr>
          <w:trHeight w:val="235"/>
        </w:trPr>
        <w:tc>
          <w:tcPr>
            <w:tcW w:w="7280" w:type="dxa"/>
            <w:vAlign w:val="bottom"/>
          </w:tcPr>
          <w:p>
            <w:pPr>
              <w:ind w:left="280"/>
              <w:spacing w:after="0"/>
              <w:rPr>
                <w:sz w:val="20"/>
                <w:szCs w:val="20"/>
                <w:color w:val="auto"/>
              </w:rPr>
            </w:pPr>
            <w:r>
              <w:rPr>
                <w:rFonts w:ascii="Arial" w:cs="Arial" w:eastAsia="Arial" w:hAnsi="Arial"/>
                <w:sz w:val="18"/>
                <w:szCs w:val="18"/>
                <w:color w:val="auto"/>
              </w:rPr>
              <w:t>Cass Commercial Bank</w:t>
            </w:r>
          </w:p>
        </w:tc>
        <w:tc>
          <w:tcPr>
            <w:tcW w:w="120" w:type="dxa"/>
            <w:vAlign w:val="bottom"/>
          </w:tcPr>
          <w:p>
            <w:pPr>
              <w:spacing w:after="0"/>
              <w:rPr>
                <w:sz w:val="20"/>
                <w:szCs w:val="20"/>
                <w:color w:val="auto"/>
              </w:rPr>
            </w:pP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107,835</w:t>
            </w:r>
          </w:p>
        </w:tc>
        <w:tc>
          <w:tcPr>
            <w:tcW w:w="820" w:type="dxa"/>
            <w:vAlign w:val="bottom"/>
          </w:tcPr>
          <w:p>
            <w:pPr>
              <w:jc w:val="right"/>
              <w:spacing w:after="0"/>
              <w:rPr>
                <w:sz w:val="20"/>
                <w:szCs w:val="20"/>
                <w:color w:val="auto"/>
              </w:rPr>
            </w:pPr>
            <w:r>
              <w:rPr>
                <w:rFonts w:ascii="Arial" w:cs="Arial" w:eastAsia="Arial" w:hAnsi="Arial"/>
                <w:sz w:val="18"/>
                <w:szCs w:val="18"/>
                <w:color w:val="auto"/>
              </w:rPr>
              <w:t>15.77%</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102,769</w:t>
            </w:r>
          </w:p>
        </w:tc>
        <w:tc>
          <w:tcPr>
            <w:tcW w:w="820" w:type="dxa"/>
            <w:vAlign w:val="bottom"/>
          </w:tcPr>
          <w:p>
            <w:pPr>
              <w:jc w:val="right"/>
              <w:spacing w:after="0"/>
              <w:rPr>
                <w:sz w:val="20"/>
                <w:szCs w:val="20"/>
                <w:color w:val="auto"/>
              </w:rPr>
            </w:pPr>
            <w:r>
              <w:rPr>
                <w:rFonts w:ascii="Arial" w:cs="Arial" w:eastAsia="Arial" w:hAnsi="Arial"/>
                <w:sz w:val="18"/>
                <w:szCs w:val="18"/>
                <w:color w:val="auto"/>
              </w:rPr>
              <w:t>15.54%</w:t>
            </w:r>
          </w:p>
        </w:tc>
      </w:tr>
      <w:tr>
        <w:trPr>
          <w:trHeight w:val="251"/>
        </w:trPr>
        <w:tc>
          <w:tcPr>
            <w:tcW w:w="7280" w:type="dxa"/>
            <w:vAlign w:val="bottom"/>
            <w:shd w:val="clear" w:color="auto" w:fill="C0C0C0"/>
          </w:tcPr>
          <w:p>
            <w:pPr>
              <w:spacing w:after="0"/>
              <w:rPr>
                <w:sz w:val="20"/>
                <w:szCs w:val="20"/>
                <w:color w:val="auto"/>
              </w:rPr>
            </w:pPr>
            <w:r>
              <w:rPr>
                <w:rFonts w:ascii="Arial" w:cs="Arial" w:eastAsia="Arial" w:hAnsi="Arial"/>
                <w:sz w:val="18"/>
                <w:szCs w:val="18"/>
                <w:color w:val="auto"/>
              </w:rPr>
              <w:t>Tier I capital (to risk-weighted assets)</w:t>
            </w:r>
          </w:p>
        </w:tc>
        <w:tc>
          <w:tcPr>
            <w:tcW w:w="120" w:type="dxa"/>
            <w:vAlign w:val="bottom"/>
            <w:shd w:val="clear" w:color="auto" w:fill="C0C0C0"/>
          </w:tcPr>
          <w:p>
            <w:pPr>
              <w:spacing w:after="0"/>
              <w:rPr>
                <w:sz w:val="21"/>
                <w:szCs w:val="21"/>
                <w:color w:val="auto"/>
              </w:rPr>
            </w:pPr>
          </w:p>
        </w:tc>
        <w:tc>
          <w:tcPr>
            <w:tcW w:w="100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0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r>
      <w:tr>
        <w:trPr>
          <w:trHeight w:val="235"/>
        </w:trPr>
        <w:tc>
          <w:tcPr>
            <w:tcW w:w="7280" w:type="dxa"/>
            <w:vAlign w:val="bottom"/>
          </w:tcPr>
          <w:p>
            <w:pPr>
              <w:ind w:left="280"/>
              <w:spacing w:after="0"/>
              <w:rPr>
                <w:sz w:val="20"/>
                <w:szCs w:val="20"/>
                <w:color w:val="auto"/>
              </w:rPr>
            </w:pPr>
            <w:r>
              <w:rPr>
                <w:rFonts w:ascii="Arial" w:cs="Arial" w:eastAsia="Arial" w:hAnsi="Arial"/>
                <w:sz w:val="18"/>
                <w:szCs w:val="18"/>
                <w:color w:val="auto"/>
              </w:rPr>
              <w:t>Cass Information Systems, Inc.</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216,095</w:t>
            </w:r>
          </w:p>
        </w:tc>
        <w:tc>
          <w:tcPr>
            <w:tcW w:w="820" w:type="dxa"/>
            <w:vAlign w:val="bottom"/>
          </w:tcPr>
          <w:p>
            <w:pPr>
              <w:jc w:val="right"/>
              <w:spacing w:after="0"/>
              <w:rPr>
                <w:sz w:val="20"/>
                <w:szCs w:val="20"/>
                <w:color w:val="auto"/>
              </w:rPr>
            </w:pPr>
            <w:r>
              <w:rPr>
                <w:rFonts w:ascii="Arial" w:cs="Arial" w:eastAsia="Arial" w:hAnsi="Arial"/>
                <w:sz w:val="18"/>
                <w:szCs w:val="18"/>
                <w:color w:val="auto"/>
              </w:rPr>
              <w:t>21.94%</w:t>
            </w:r>
          </w:p>
        </w:tc>
        <w:tc>
          <w:tcPr>
            <w:tcW w:w="2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209,572</w:t>
            </w:r>
          </w:p>
        </w:tc>
        <w:tc>
          <w:tcPr>
            <w:tcW w:w="820" w:type="dxa"/>
            <w:vAlign w:val="bottom"/>
          </w:tcPr>
          <w:p>
            <w:pPr>
              <w:jc w:val="right"/>
              <w:spacing w:after="0"/>
              <w:rPr>
                <w:sz w:val="20"/>
                <w:szCs w:val="20"/>
                <w:color w:val="auto"/>
              </w:rPr>
            </w:pPr>
            <w:r>
              <w:rPr>
                <w:rFonts w:ascii="Arial" w:cs="Arial" w:eastAsia="Arial" w:hAnsi="Arial"/>
                <w:sz w:val="18"/>
                <w:szCs w:val="18"/>
                <w:color w:val="auto"/>
              </w:rPr>
              <w:t>21.70%</w:t>
            </w:r>
          </w:p>
        </w:tc>
      </w:tr>
      <w:tr>
        <w:trPr>
          <w:trHeight w:val="251"/>
        </w:trPr>
        <w:tc>
          <w:tcPr>
            <w:tcW w:w="7280" w:type="dxa"/>
            <w:vAlign w:val="bottom"/>
            <w:shd w:val="clear" w:color="auto" w:fill="C0C0C0"/>
          </w:tcPr>
          <w:p>
            <w:pPr>
              <w:ind w:left="280"/>
              <w:spacing w:after="0"/>
              <w:rPr>
                <w:sz w:val="20"/>
                <w:szCs w:val="20"/>
                <w:color w:val="auto"/>
              </w:rPr>
            </w:pPr>
            <w:r>
              <w:rPr>
                <w:rFonts w:ascii="Arial" w:cs="Arial" w:eastAsia="Arial" w:hAnsi="Arial"/>
                <w:sz w:val="18"/>
                <w:szCs w:val="18"/>
                <w:color w:val="auto"/>
              </w:rPr>
              <w:t>Cass Commercial Bank</w:t>
            </w:r>
          </w:p>
        </w:tc>
        <w:tc>
          <w:tcPr>
            <w:tcW w:w="120" w:type="dxa"/>
            <w:vAlign w:val="bottom"/>
            <w:shd w:val="clear" w:color="auto" w:fill="C0C0C0"/>
          </w:tcPr>
          <w:p>
            <w:pPr>
              <w:spacing w:after="0"/>
              <w:rPr>
                <w:sz w:val="21"/>
                <w:szCs w:val="21"/>
                <w:color w:val="auto"/>
              </w:rPr>
            </w:pPr>
          </w:p>
        </w:tc>
        <w:tc>
          <w:tcPr>
            <w:tcW w:w="100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107,835</w:t>
            </w: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15.77%</w:t>
            </w:r>
          </w:p>
        </w:tc>
        <w:tc>
          <w:tcPr>
            <w:tcW w:w="2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0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102,769</w:t>
            </w: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15.54%</w:t>
            </w:r>
          </w:p>
        </w:tc>
      </w:tr>
      <w:tr>
        <w:trPr>
          <w:trHeight w:val="235"/>
        </w:trPr>
        <w:tc>
          <w:tcPr>
            <w:tcW w:w="7280" w:type="dxa"/>
            <w:vAlign w:val="bottom"/>
          </w:tcPr>
          <w:p>
            <w:pPr>
              <w:spacing w:after="0"/>
              <w:rPr>
                <w:sz w:val="20"/>
                <w:szCs w:val="20"/>
                <w:color w:val="auto"/>
              </w:rPr>
            </w:pPr>
            <w:r>
              <w:rPr>
                <w:rFonts w:ascii="Arial" w:cs="Arial" w:eastAsia="Arial" w:hAnsi="Arial"/>
                <w:sz w:val="18"/>
                <w:szCs w:val="18"/>
                <w:color w:val="auto"/>
              </w:rPr>
              <w:t>Tier I capital (to average assets)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51"/>
        </w:trPr>
        <w:tc>
          <w:tcPr>
            <w:tcW w:w="7280" w:type="dxa"/>
            <w:vAlign w:val="bottom"/>
            <w:shd w:val="clear" w:color="auto" w:fill="C0C0C0"/>
          </w:tcPr>
          <w:p>
            <w:pPr>
              <w:ind w:left="280"/>
              <w:spacing w:after="0"/>
              <w:rPr>
                <w:sz w:val="20"/>
                <w:szCs w:val="20"/>
                <w:color w:val="auto"/>
              </w:rPr>
            </w:pPr>
            <w:r>
              <w:rPr>
                <w:rFonts w:ascii="Arial" w:cs="Arial" w:eastAsia="Arial" w:hAnsi="Arial"/>
                <w:sz w:val="18"/>
                <w:szCs w:val="18"/>
                <w:color w:val="auto"/>
              </w:rPr>
              <w:t>Cass Information Systems, Inc.</w:t>
            </w:r>
          </w:p>
        </w:tc>
        <w:tc>
          <w:tcPr>
            <w:tcW w:w="12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216,095</w:t>
            </w: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14.23%</w:t>
            </w:r>
          </w:p>
        </w:tc>
        <w:tc>
          <w:tcPr>
            <w:tcW w:w="260" w:type="dxa"/>
            <w:vAlign w:val="bottom"/>
            <w:shd w:val="clear" w:color="auto" w:fill="C0C0C0"/>
          </w:tcPr>
          <w:p>
            <w:pPr>
              <w:spacing w:after="0"/>
              <w:rPr>
                <w:sz w:val="21"/>
                <w:szCs w:val="21"/>
                <w:color w:val="auto"/>
              </w:rPr>
            </w:pPr>
          </w:p>
        </w:tc>
        <w:tc>
          <w:tcPr>
            <w:tcW w:w="12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209,572</w:t>
            </w: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13.83%</w:t>
            </w:r>
          </w:p>
        </w:tc>
      </w:tr>
      <w:tr>
        <w:trPr>
          <w:trHeight w:val="237"/>
        </w:trPr>
        <w:tc>
          <w:tcPr>
            <w:tcW w:w="728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Cass Commercial Bank</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107,835</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14.99%</w:t>
            </w: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102,769</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13.98%</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assets and liabilities are primarily monetary, consisting of cash, cash equivalents, securities, loans, payables and deposits. Monetary assets and liabilities are those that can be converted into a fixed number of dollars. The Company’s consolidated balance sheet reflects a net positive monetary position (monetary assets exceed monetary liabilities). During periods of inflation, the holding of a net positive monetary position will result in an overall decline in the purchasing power of a company. Management believes that replacement costs of equipment, furniture, and leasehold improvements will not materially affect operations. The rate of inflation does affect certain expenses, such as those for employee compensation, which may not be readily recoverable in the price of the Company’s services.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New and Not Yet Adopted Accounting Pronouncements</w:t>
      </w:r>
    </w:p>
    <w:p>
      <w:pPr>
        <w:spacing w:after="0" w:line="23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In May 2014, the FASB issued Accounting Standards Update (“ASU”) No. 2014-09 –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The ASU supersedes revenue recognition requirements in Topic 605, Revenue Recognition, including most industry-specific revenue recognition guidance in the FASB Accounting Standards Codification. The core principle of the new guidance is that an entity should recognize revenue to depict the transfer of promised goods or services to customers in an amount that reflects the consideration to which the entity expects to be entitled in exchange for those goods or services. The guidance identifies specific steps that entities should apply in order to achieve this principle. Under the ASU, the amendments are effective for interim and annual periods beginning January 1, 2018 and must be applied retrospectively. The impact of the adoption of this ASU is currently being evaluated but is not expected to have a material impact on the Company’s consolidated financial statements or results of operations.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jc w:val="both"/>
        <w:spacing w:after="0" w:line="288" w:lineRule="auto"/>
        <w:rPr>
          <w:sz w:val="20"/>
          <w:szCs w:val="20"/>
          <w:color w:val="auto"/>
        </w:rPr>
      </w:pPr>
      <w:r>
        <w:rPr>
          <w:rFonts w:ascii="Arial" w:cs="Arial" w:eastAsia="Arial" w:hAnsi="Arial"/>
          <w:sz w:val="16"/>
          <w:szCs w:val="16"/>
          <w:color w:val="auto"/>
        </w:rPr>
        <w:t xml:space="preserve">In February 2016, the FASB issued ASU No. 2016-02 – </w:t>
      </w:r>
      <w:r>
        <w:rPr>
          <w:rFonts w:ascii="Arial" w:cs="Arial" w:eastAsia="Arial" w:hAnsi="Arial"/>
          <w:sz w:val="16"/>
          <w:szCs w:val="16"/>
          <w:i w:val="1"/>
          <w:iCs w:val="1"/>
          <w:color w:val="auto"/>
        </w:rPr>
        <w:t>Leases (ASC Topic 842)</w:t>
      </w:r>
      <w:r>
        <w:rPr>
          <w:rFonts w:ascii="Arial" w:cs="Arial" w:eastAsia="Arial" w:hAnsi="Arial"/>
          <w:sz w:val="16"/>
          <w:szCs w:val="16"/>
          <w:color w:val="auto"/>
        </w:rPr>
        <w:t>. The ASU improves financial reporting about leasing transactions. The ASU affects all companies and other organizations that lease assets such as real estate, airplanes, and manufacturing equipment. Consistent with current Generally Accepted Accounting Principles (GAAP), the recognition, measurement, and presentation of expenses and cash flows arising from a lease by a lessee primarily will depend on its classification as a finance or operating lease. However, unlike current GAAP—which requires only capital leases to be recognized on the balance sheet—the new ASU will require both types of leases to be recognized on the balance sheet. The ASU also will require disclosures to help investors and other financial statement users better understand the amount, timing, and uncertainty of cash flows arising from leases. These disclosures include qualitative and quantitative requirements, providing additional information about the amounts recorded in the financial statements. The ASU on leases will take effect for public companies for fiscal years, and interim periods within those fiscal years, beginning after December 15, 2018. The impact of the adoption of this ASU is currently being evaluated but is not expected to have a material impact on the Company’s consolidated financial statements or results of operations.</w:t>
      </w:r>
    </w:p>
    <w:p>
      <w:pPr>
        <w:spacing w:after="0" w:line="1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In June 2016, the FASB issued ASU No. 2016-13 - </w:t>
      </w:r>
      <w:r>
        <w:rPr>
          <w:rFonts w:ascii="Arial" w:cs="Arial" w:eastAsia="Arial" w:hAnsi="Arial"/>
          <w:sz w:val="18"/>
          <w:szCs w:val="18"/>
          <w:i w:val="1"/>
          <w:iCs w:val="1"/>
          <w:color w:val="auto"/>
        </w:rPr>
        <w:t>Financial Instruments—Credit Losses (Topic 326): Measurement of Credit Losses on Financial Instruments.</w:t>
      </w:r>
      <w:r>
        <w:rPr>
          <w:rFonts w:ascii="Arial" w:cs="Arial" w:eastAsia="Arial" w:hAnsi="Arial"/>
          <w:sz w:val="18"/>
          <w:szCs w:val="18"/>
          <w:color w:val="auto"/>
        </w:rPr>
        <w:t xml:space="preserve"> The ASU requires measurement and recognition of expected credit losses for financial assets held. Under this standard, it will be required to hold an allowance equal to the expected life-of-loan losses on the loan portfolio. The standard is effective for fiscal periods beginning after December 15, 2019. The impact of the adoption of this ASU is currently being evaluated.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3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As described in the Company’s Annual Report on Form 10-K for the year ended December 31, 2016, the Company manages its interest rate risk through measurement techniques that include gap analysis and a simulation model. As part of the risk management process, asset/liability management policies are established and monitored by management. The policy objective is to limit the change in annualized net interest income to 15.0% from an immediate and sustained parallel change in interest rates of 200 basis points. Based on the Company’s most recent evaluation, management does not believe the Company’s risk position at June 30, 2017 has changed materially from that at December 31, 2016.</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3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Company’s management, under the supervision and with the participation of the principal executive officer and the principal financial officer, evaluated the effectiveness of the Company’s disclosure controls and procedures (as defined in Rules 13a-15e and 15d-15e under the Securities Exchange Act of 1934, as amended) as of the end of the period covered by this report and concluded that, as of such date, these controls and procedures were effective.</w:t>
      </w:r>
    </w:p>
    <w:p>
      <w:pPr>
        <w:spacing w:after="0" w:line="16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There were no changes in the Second Quarter of 2017 in the Company’s internal control over financial reporting identified by the Company’s principal executive officer and principal financial officer in connection with their evaluation that materially affected or are reasonably likely to materially affect the Company’s internal control over financial reporting (as defined in Rules 13a-15(f) and 15d-15(f) under the Securities Exchange Act of 1934, as amended).</w:t>
      </w:r>
    </w:p>
    <w:p>
      <w:pPr>
        <w:spacing w:after="0" w:line="15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PART II.</w:t>
        <w:tab/>
        <w:t>OTHER INFORMATION</w:t>
      </w:r>
    </w:p>
    <w:p>
      <w:pPr>
        <w:spacing w:after="0" w:line="252"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21" w:lineRule="exact"/>
        <w:rPr>
          <w:sz w:val="20"/>
          <w:szCs w:val="20"/>
          <w:color w:val="auto"/>
        </w:rPr>
      </w:pPr>
    </w:p>
    <w:p>
      <w:pPr>
        <w:jc w:val="both"/>
        <w:ind w:left="880"/>
        <w:spacing w:after="0" w:line="255" w:lineRule="auto"/>
        <w:rPr>
          <w:sz w:val="20"/>
          <w:szCs w:val="20"/>
          <w:color w:val="auto"/>
        </w:rPr>
      </w:pPr>
      <w:r>
        <w:rPr>
          <w:rFonts w:ascii="Arial" w:cs="Arial" w:eastAsia="Arial" w:hAnsi="Arial"/>
          <w:sz w:val="18"/>
          <w:szCs w:val="18"/>
          <w:color w:val="auto"/>
        </w:rPr>
        <w:t>The Company is the subject of various pending or threatened legal actions and proceedings, including those that arise in the ordinary course of business. Management believes the outcome of all such proceedings will not have a material effect on the businesses or financial conditions of the Company or its subsidiaries.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1" w:lineRule="exact"/>
        <w:rPr>
          <w:sz w:val="20"/>
          <w:szCs w:val="20"/>
          <w:color w:val="auto"/>
        </w:rPr>
      </w:pPr>
    </w:p>
    <w:p>
      <w:pPr>
        <w:jc w:val="both"/>
        <w:ind w:left="880"/>
        <w:spacing w:after="0" w:line="302" w:lineRule="auto"/>
        <w:rPr>
          <w:sz w:val="20"/>
          <w:szCs w:val="20"/>
          <w:color w:val="auto"/>
        </w:rPr>
      </w:pPr>
      <w:r>
        <w:rPr>
          <w:rFonts w:ascii="Arial" w:cs="Arial" w:eastAsia="Arial" w:hAnsi="Arial"/>
          <w:sz w:val="16"/>
          <w:szCs w:val="16"/>
          <w:color w:val="auto"/>
        </w:rPr>
        <w:t>The Company has included in Part I, Item 1A of its Annual Report on Form 10-K for the year ended December 31, 2016, a description of certain risks and uncertainties that could affect the Company’s business, future performance or financial condition (the “Risk Factors”). There are no material changes to the Risk Factors as disclosed in the Company’s 2016 Annual Report on Form 10-K.</w:t>
      </w:r>
    </w:p>
    <w:p>
      <w:pPr>
        <w:spacing w:after="0" w:line="18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UNREGISTERED SALES OF EQUITY SECURITIES AND USE OF PROCEEDS</w:t>
      </w:r>
    </w:p>
    <w:p>
      <w:pPr>
        <w:spacing w:after="0" w:line="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None.</w:t>
      </w:r>
    </w:p>
    <w:p>
      <w:pPr>
        <w:spacing w:after="0" w:line="24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spacing w:after="0"/>
        <w:tabs>
          <w:tab w:leader="none" w:pos="8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DISCLOSURES</w:t>
      </w:r>
    </w:p>
    <w:p>
      <w:pPr>
        <w:spacing w:after="0" w:line="21" w:lineRule="exact"/>
        <w:rPr>
          <w:sz w:val="20"/>
          <w:szCs w:val="20"/>
          <w:color w:val="auto"/>
        </w:rPr>
      </w:pPr>
    </w:p>
    <w:p>
      <w:pPr>
        <w:ind w:left="860"/>
        <w:spacing w:after="0"/>
        <w:rPr>
          <w:sz w:val="20"/>
          <w:szCs w:val="20"/>
          <w:color w:val="auto"/>
        </w:rPr>
      </w:pPr>
      <w:r>
        <w:rPr>
          <w:rFonts w:ascii="Arial" w:cs="Arial" w:eastAsia="Arial" w:hAnsi="Arial"/>
          <w:sz w:val="18"/>
          <w:szCs w:val="18"/>
          <w:color w:val="auto"/>
        </w:rPr>
        <w:t>Not applicable.</w:t>
      </w:r>
    </w:p>
    <w:p>
      <w:pPr>
        <w:spacing w:after="0" w:line="24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5.</w:t>
        <w:tab/>
        <w:t>OTHER INFORMATION</w:t>
      </w:r>
    </w:p>
    <w:p>
      <w:pPr>
        <w:spacing w:after="0" w:line="21" w:lineRule="exact"/>
        <w:rPr>
          <w:sz w:val="20"/>
          <w:szCs w:val="20"/>
          <w:color w:val="auto"/>
        </w:rPr>
      </w:pPr>
    </w:p>
    <w:p>
      <w:pPr>
        <w:ind w:left="1320" w:hanging="461"/>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None.</w:t>
      </w:r>
    </w:p>
    <w:p>
      <w:pPr>
        <w:spacing w:after="0" w:line="9" w:lineRule="exact"/>
        <w:rPr>
          <w:rFonts w:ascii="Arial" w:cs="Arial" w:eastAsia="Arial" w:hAnsi="Arial"/>
          <w:sz w:val="18"/>
          <w:szCs w:val="18"/>
          <w:color w:val="auto"/>
        </w:rPr>
      </w:pPr>
    </w:p>
    <w:p>
      <w:pPr>
        <w:ind w:left="1320" w:hanging="461"/>
        <w:spacing w:after="0" w:line="261" w:lineRule="auto"/>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There have been no material changes to the procedures by which security holders may recommend nominees to the Company’s Board of Directors implemented in the Second Quarter of 2017.</w:t>
      </w:r>
    </w:p>
    <w:p>
      <w:pPr>
        <w:spacing w:after="0" w:line="213"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6.</w:t>
        <w:tab/>
        <w:t>EXHIBITS</w:t>
      </w:r>
    </w:p>
    <w:p>
      <w:pPr>
        <w:spacing w:after="0" w:line="231" w:lineRule="exact"/>
        <w:rPr>
          <w:sz w:val="20"/>
          <w:szCs w:val="20"/>
          <w:color w:val="auto"/>
        </w:rPr>
      </w:pPr>
    </w:p>
    <w:p>
      <w:pPr>
        <w:ind w:left="860"/>
        <w:spacing w:after="0"/>
        <w:rPr>
          <w:sz w:val="20"/>
          <w:szCs w:val="20"/>
          <w:color w:val="auto"/>
        </w:rPr>
      </w:pPr>
      <w:r>
        <w:rPr>
          <w:rFonts w:ascii="Arial" w:cs="Arial" w:eastAsia="Arial" w:hAnsi="Arial"/>
          <w:sz w:val="18"/>
          <w:szCs w:val="18"/>
          <w:color w:val="auto"/>
        </w:rPr>
        <w:t>Exhibit 31.1 Certification Pursuant to Section 302 of the Sarbanes-Oxley Act of 2002.</w:t>
      </w:r>
    </w:p>
    <w:p>
      <w:pPr>
        <w:spacing w:after="0" w:line="225" w:lineRule="exact"/>
        <w:rPr>
          <w:sz w:val="20"/>
          <w:szCs w:val="20"/>
          <w:color w:val="auto"/>
        </w:rPr>
      </w:pPr>
    </w:p>
    <w:p>
      <w:pPr>
        <w:ind w:left="860"/>
        <w:spacing w:after="0"/>
        <w:rPr>
          <w:sz w:val="20"/>
          <w:szCs w:val="20"/>
          <w:color w:val="auto"/>
        </w:rPr>
      </w:pPr>
      <w:r>
        <w:rPr>
          <w:rFonts w:ascii="Arial" w:cs="Arial" w:eastAsia="Arial" w:hAnsi="Arial"/>
          <w:sz w:val="18"/>
          <w:szCs w:val="18"/>
          <w:color w:val="auto"/>
        </w:rPr>
        <w:t>Exhibit 31.2 Certification Pursuant to Section 302 of the Sarbanes-Oxley Act of 2002.</w:t>
      </w:r>
    </w:p>
    <w:p>
      <w:pPr>
        <w:spacing w:after="0" w:line="225" w:lineRule="exact"/>
        <w:rPr>
          <w:sz w:val="20"/>
          <w:szCs w:val="20"/>
          <w:color w:val="auto"/>
        </w:rPr>
      </w:pPr>
    </w:p>
    <w:p>
      <w:pPr>
        <w:ind w:left="860"/>
        <w:spacing w:after="0"/>
        <w:rPr>
          <w:sz w:val="20"/>
          <w:szCs w:val="20"/>
          <w:color w:val="auto"/>
        </w:rPr>
      </w:pPr>
      <w:r>
        <w:rPr>
          <w:rFonts w:ascii="Arial" w:cs="Arial" w:eastAsia="Arial" w:hAnsi="Arial"/>
          <w:sz w:val="16"/>
          <w:szCs w:val="16"/>
          <w:color w:val="auto"/>
        </w:rPr>
        <w:t>Exhibit 32.1 Certification Pursuant to 18 U.S.C. Section 1350, as Adopted Pursuant to Section 906 of the Sarbanes-Oxley Act of 2002.</w:t>
      </w:r>
    </w:p>
    <w:p>
      <w:pPr>
        <w:spacing w:after="0" w:line="248" w:lineRule="exact"/>
        <w:rPr>
          <w:sz w:val="20"/>
          <w:szCs w:val="20"/>
          <w:color w:val="auto"/>
        </w:rPr>
      </w:pPr>
    </w:p>
    <w:p>
      <w:pPr>
        <w:ind w:left="860"/>
        <w:spacing w:after="0"/>
        <w:rPr>
          <w:sz w:val="20"/>
          <w:szCs w:val="20"/>
          <w:color w:val="auto"/>
        </w:rPr>
      </w:pPr>
      <w:r>
        <w:rPr>
          <w:rFonts w:ascii="Arial" w:cs="Arial" w:eastAsia="Arial" w:hAnsi="Arial"/>
          <w:sz w:val="16"/>
          <w:szCs w:val="16"/>
          <w:color w:val="auto"/>
        </w:rPr>
        <w:t>Exhibit 32.2 Certification Pursuant to 18 U.S.C. Section 1350, as Adopted Pursuant to Section 906 of the Sarbanes-Oxley Act of 2002.</w:t>
      </w:r>
    </w:p>
    <w:p>
      <w:pPr>
        <w:spacing w:after="0" w:line="248" w:lineRule="exact"/>
        <w:rPr>
          <w:sz w:val="20"/>
          <w:szCs w:val="20"/>
          <w:color w:val="auto"/>
        </w:rPr>
      </w:pPr>
    </w:p>
    <w:p>
      <w:pPr>
        <w:ind w:left="860"/>
        <w:spacing w:after="0"/>
        <w:rPr>
          <w:sz w:val="20"/>
          <w:szCs w:val="20"/>
          <w:color w:val="auto"/>
        </w:rPr>
      </w:pPr>
      <w:r>
        <w:rPr>
          <w:rFonts w:ascii="Arial" w:cs="Arial" w:eastAsia="Arial" w:hAnsi="Arial"/>
          <w:sz w:val="18"/>
          <w:szCs w:val="18"/>
          <w:color w:val="auto"/>
        </w:rPr>
        <w:t>Exhibit 101.INS XBRL Instance Document.</w:t>
      </w:r>
    </w:p>
    <w:p>
      <w:pPr>
        <w:spacing w:after="0" w:line="225" w:lineRule="exact"/>
        <w:rPr>
          <w:sz w:val="20"/>
          <w:szCs w:val="20"/>
          <w:color w:val="auto"/>
        </w:rPr>
      </w:pPr>
    </w:p>
    <w:p>
      <w:pPr>
        <w:ind w:left="860"/>
        <w:spacing w:after="0"/>
        <w:rPr>
          <w:sz w:val="20"/>
          <w:szCs w:val="20"/>
          <w:color w:val="auto"/>
        </w:rPr>
      </w:pPr>
      <w:r>
        <w:rPr>
          <w:rFonts w:ascii="Arial" w:cs="Arial" w:eastAsia="Arial" w:hAnsi="Arial"/>
          <w:sz w:val="18"/>
          <w:szCs w:val="18"/>
          <w:color w:val="auto"/>
        </w:rPr>
        <w:t>Exhibit 101.SCH XBRL Taxonomy Extension Schema Document.</w:t>
      </w:r>
    </w:p>
    <w:p>
      <w:pPr>
        <w:spacing w:after="0" w:line="225" w:lineRule="exact"/>
        <w:rPr>
          <w:sz w:val="20"/>
          <w:szCs w:val="20"/>
          <w:color w:val="auto"/>
        </w:rPr>
      </w:pPr>
    </w:p>
    <w:p>
      <w:pPr>
        <w:ind w:left="860"/>
        <w:spacing w:after="0"/>
        <w:rPr>
          <w:sz w:val="20"/>
          <w:szCs w:val="20"/>
          <w:color w:val="auto"/>
        </w:rPr>
      </w:pPr>
      <w:r>
        <w:rPr>
          <w:rFonts w:ascii="Arial" w:cs="Arial" w:eastAsia="Arial" w:hAnsi="Arial"/>
          <w:sz w:val="18"/>
          <w:szCs w:val="18"/>
          <w:color w:val="auto"/>
        </w:rPr>
        <w:t>Exhibit 101.CAL XBRL Taxonomy Extension Calculation Linkbase Document.</w:t>
      </w:r>
    </w:p>
    <w:p>
      <w:pPr>
        <w:spacing w:after="0" w:line="225" w:lineRule="exact"/>
        <w:rPr>
          <w:sz w:val="20"/>
          <w:szCs w:val="20"/>
          <w:color w:val="auto"/>
        </w:rPr>
      </w:pPr>
    </w:p>
    <w:p>
      <w:pPr>
        <w:ind w:left="860"/>
        <w:spacing w:after="0"/>
        <w:rPr>
          <w:sz w:val="20"/>
          <w:szCs w:val="20"/>
          <w:color w:val="auto"/>
        </w:rPr>
      </w:pPr>
      <w:r>
        <w:rPr>
          <w:rFonts w:ascii="Arial" w:cs="Arial" w:eastAsia="Arial" w:hAnsi="Arial"/>
          <w:sz w:val="18"/>
          <w:szCs w:val="18"/>
          <w:color w:val="auto"/>
        </w:rPr>
        <w:t>Exhibit 101.LAB XBRL Taxonomy Extension Label Linkbase Document.</w:t>
      </w:r>
    </w:p>
    <w:p>
      <w:pPr>
        <w:spacing w:after="0" w:line="225" w:lineRule="exact"/>
        <w:rPr>
          <w:sz w:val="20"/>
          <w:szCs w:val="20"/>
          <w:color w:val="auto"/>
        </w:rPr>
      </w:pPr>
    </w:p>
    <w:p>
      <w:pPr>
        <w:ind w:left="860"/>
        <w:spacing w:after="0"/>
        <w:rPr>
          <w:sz w:val="20"/>
          <w:szCs w:val="20"/>
          <w:color w:val="auto"/>
        </w:rPr>
      </w:pPr>
      <w:r>
        <w:rPr>
          <w:rFonts w:ascii="Arial" w:cs="Arial" w:eastAsia="Arial" w:hAnsi="Arial"/>
          <w:sz w:val="18"/>
          <w:szCs w:val="18"/>
          <w:color w:val="auto"/>
        </w:rPr>
        <w:t>Exhibit 101.PRE XBRL Taxonomy Extension Presentation Linkbase Document.</w:t>
      </w:r>
    </w:p>
    <w:p>
      <w:pPr>
        <w:spacing w:after="0" w:line="225" w:lineRule="exact"/>
        <w:rPr>
          <w:sz w:val="20"/>
          <w:szCs w:val="20"/>
          <w:color w:val="auto"/>
        </w:rPr>
      </w:pPr>
    </w:p>
    <w:p>
      <w:pPr>
        <w:ind w:left="860"/>
        <w:spacing w:after="0"/>
        <w:rPr>
          <w:sz w:val="20"/>
          <w:szCs w:val="20"/>
          <w:color w:val="auto"/>
        </w:rPr>
      </w:pPr>
      <w:r>
        <w:rPr>
          <w:rFonts w:ascii="Arial" w:cs="Arial" w:eastAsia="Arial" w:hAnsi="Arial"/>
          <w:sz w:val="18"/>
          <w:szCs w:val="18"/>
          <w:color w:val="auto"/>
        </w:rPr>
        <w:t>Exhibit 101.DEF XBRL Taxonomy Extension Definition Linkbase Document.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0" w:name="page31"/>
    <w:bookmarkEnd w:id="30"/>
    <w:p>
      <w:pPr>
        <w:ind w:left="28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27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580" w:type="dxa"/>
            <w:vAlign w:val="bottom"/>
          </w:tcPr>
          <w:p>
            <w:pPr>
              <w:spacing w:after="0"/>
              <w:rPr>
                <w:sz w:val="19"/>
                <w:szCs w:val="19"/>
                <w:color w:val="auto"/>
              </w:rPr>
            </w:pPr>
          </w:p>
        </w:tc>
        <w:tc>
          <w:tcPr>
            <w:tcW w:w="6840" w:type="dxa"/>
            <w:vAlign w:val="bottom"/>
            <w:gridSpan w:val="2"/>
          </w:tcPr>
          <w:p>
            <w:pPr>
              <w:ind w:left="2960"/>
              <w:spacing w:after="0"/>
              <w:rPr>
                <w:sz w:val="20"/>
                <w:szCs w:val="20"/>
                <w:color w:val="auto"/>
              </w:rPr>
            </w:pPr>
            <w:r>
              <w:rPr>
                <w:rFonts w:ascii="Arial" w:cs="Arial" w:eastAsia="Arial" w:hAnsi="Arial"/>
                <w:sz w:val="18"/>
                <w:szCs w:val="18"/>
                <w:color w:val="auto"/>
              </w:rPr>
              <w:t>CASS INFORMATION SYSTEMS, INC.</w:t>
            </w:r>
          </w:p>
        </w:tc>
      </w:tr>
      <w:tr>
        <w:trPr>
          <w:trHeight w:val="495"/>
        </w:trPr>
        <w:tc>
          <w:tcPr>
            <w:tcW w:w="4580" w:type="dxa"/>
            <w:vAlign w:val="bottom"/>
          </w:tcPr>
          <w:p>
            <w:pPr>
              <w:spacing w:after="0"/>
              <w:rPr>
                <w:sz w:val="20"/>
                <w:szCs w:val="20"/>
                <w:color w:val="auto"/>
              </w:rPr>
            </w:pPr>
            <w:r>
              <w:rPr>
                <w:rFonts w:ascii="Arial" w:cs="Arial" w:eastAsia="Arial" w:hAnsi="Arial"/>
                <w:sz w:val="18"/>
                <w:szCs w:val="18"/>
                <w:color w:val="auto"/>
              </w:rPr>
              <w:t>DATE: August 4, 2017</w:t>
            </w:r>
          </w:p>
        </w:tc>
        <w:tc>
          <w:tcPr>
            <w:tcW w:w="3280" w:type="dxa"/>
            <w:vAlign w:val="bottom"/>
          </w:tcPr>
          <w:p>
            <w:pPr>
              <w:ind w:left="2960"/>
              <w:spacing w:after="0"/>
              <w:rPr>
                <w:sz w:val="20"/>
                <w:szCs w:val="20"/>
                <w:color w:val="auto"/>
              </w:rPr>
            </w:pPr>
            <w:r>
              <w:rPr>
                <w:rFonts w:ascii="Arial" w:cs="Arial" w:eastAsia="Arial" w:hAnsi="Arial"/>
                <w:sz w:val="18"/>
                <w:szCs w:val="18"/>
                <w:color w:val="auto"/>
              </w:rPr>
              <w:t>By</w:t>
            </w:r>
          </w:p>
        </w:tc>
        <w:tc>
          <w:tcPr>
            <w:tcW w:w="3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Eric H. Brunngraber</w:t>
            </w:r>
          </w:p>
        </w:tc>
      </w:tr>
      <w:tr>
        <w:trPr>
          <w:trHeight w:val="228"/>
        </w:trPr>
        <w:tc>
          <w:tcPr>
            <w:tcW w:w="458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90"/>
              </w:rPr>
              <w:t>Eric H. Brunngraber</w:t>
            </w:r>
          </w:p>
        </w:tc>
      </w:tr>
      <w:tr>
        <w:trPr>
          <w:trHeight w:val="243"/>
        </w:trPr>
        <w:tc>
          <w:tcPr>
            <w:tcW w:w="4580" w:type="dxa"/>
            <w:vAlign w:val="bottom"/>
          </w:tcPr>
          <w:p>
            <w:pPr>
              <w:spacing w:after="0"/>
              <w:rPr>
                <w:sz w:val="21"/>
                <w:szCs w:val="21"/>
                <w:color w:val="auto"/>
              </w:rPr>
            </w:pPr>
          </w:p>
        </w:tc>
        <w:tc>
          <w:tcPr>
            <w:tcW w:w="6840" w:type="dxa"/>
            <w:vAlign w:val="bottom"/>
            <w:gridSpan w:val="2"/>
          </w:tcPr>
          <w:p>
            <w:pPr>
              <w:ind w:left="3160"/>
              <w:spacing w:after="0"/>
              <w:rPr>
                <w:sz w:val="20"/>
                <w:szCs w:val="20"/>
                <w:color w:val="auto"/>
              </w:rPr>
            </w:pPr>
            <w:r>
              <w:rPr>
                <w:rFonts w:ascii="Arial" w:cs="Arial" w:eastAsia="Arial" w:hAnsi="Arial"/>
                <w:sz w:val="18"/>
                <w:szCs w:val="18"/>
                <w:color w:val="auto"/>
                <w:w w:val="94"/>
              </w:rPr>
              <w:t>Chairman, President and Chief Executive Officer</w:t>
            </w:r>
          </w:p>
        </w:tc>
      </w:tr>
      <w:tr>
        <w:trPr>
          <w:trHeight w:val="243"/>
        </w:trPr>
        <w:tc>
          <w:tcPr>
            <w:tcW w:w="458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91"/>
              </w:rPr>
              <w:t>(Principal Executive Officer)</w:t>
            </w:r>
          </w:p>
        </w:tc>
      </w:tr>
      <w:tr>
        <w:trPr>
          <w:trHeight w:val="738"/>
        </w:trPr>
        <w:tc>
          <w:tcPr>
            <w:tcW w:w="4580" w:type="dxa"/>
            <w:vAlign w:val="bottom"/>
          </w:tcPr>
          <w:p>
            <w:pPr>
              <w:spacing w:after="0"/>
              <w:rPr>
                <w:sz w:val="20"/>
                <w:szCs w:val="20"/>
                <w:color w:val="auto"/>
              </w:rPr>
            </w:pPr>
            <w:r>
              <w:rPr>
                <w:rFonts w:ascii="Arial" w:cs="Arial" w:eastAsia="Arial" w:hAnsi="Arial"/>
                <w:sz w:val="18"/>
                <w:szCs w:val="18"/>
                <w:color w:val="auto"/>
              </w:rPr>
              <w:t>DATE: August 4, 2017</w:t>
            </w:r>
          </w:p>
        </w:tc>
        <w:tc>
          <w:tcPr>
            <w:tcW w:w="3280" w:type="dxa"/>
            <w:vAlign w:val="bottom"/>
          </w:tcPr>
          <w:p>
            <w:pPr>
              <w:ind w:left="3020"/>
              <w:spacing w:after="0"/>
              <w:rPr>
                <w:sz w:val="20"/>
                <w:szCs w:val="20"/>
                <w:color w:val="auto"/>
              </w:rPr>
            </w:pPr>
            <w:r>
              <w:rPr>
                <w:rFonts w:ascii="Arial" w:cs="Arial" w:eastAsia="Arial" w:hAnsi="Arial"/>
                <w:sz w:val="18"/>
                <w:szCs w:val="18"/>
                <w:color w:val="auto"/>
              </w:rPr>
              <w:t>By</w:t>
            </w:r>
          </w:p>
        </w:tc>
        <w:tc>
          <w:tcPr>
            <w:tcW w:w="3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/s/ P. Stephen Appelbaum</w:t>
            </w:r>
          </w:p>
        </w:tc>
      </w:tr>
      <w:tr>
        <w:trPr>
          <w:trHeight w:val="228"/>
        </w:trPr>
        <w:tc>
          <w:tcPr>
            <w:tcW w:w="458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86"/>
              </w:rPr>
              <w:t>P. Stephen Appelbaum</w:t>
            </w:r>
          </w:p>
        </w:tc>
      </w:tr>
    </w:tbl>
    <w:p>
      <w:pPr>
        <w:spacing w:after="0" w:line="21" w:lineRule="exact"/>
        <w:rPr>
          <w:sz w:val="20"/>
          <w:szCs w:val="20"/>
          <w:color w:val="auto"/>
        </w:rPr>
      </w:pPr>
    </w:p>
    <w:p>
      <w:pPr>
        <w:jc w:val="center"/>
        <w:ind w:left="7540"/>
        <w:spacing w:after="0"/>
        <w:rPr>
          <w:sz w:val="20"/>
          <w:szCs w:val="20"/>
          <w:color w:val="auto"/>
        </w:rPr>
      </w:pPr>
      <w:r>
        <w:rPr>
          <w:rFonts w:ascii="Arial" w:cs="Arial" w:eastAsia="Arial" w:hAnsi="Arial"/>
          <w:sz w:val="16"/>
          <w:szCs w:val="16"/>
          <w:color w:val="auto"/>
        </w:rPr>
        <w:t>Executive Vice President and Chief Financial Officer</w:t>
      </w:r>
    </w:p>
    <w:p>
      <w:pPr>
        <w:spacing w:after="0" w:line="59" w:lineRule="exact"/>
        <w:rPr>
          <w:sz w:val="20"/>
          <w:szCs w:val="20"/>
          <w:color w:val="auto"/>
        </w:rPr>
      </w:pPr>
    </w:p>
    <w:p>
      <w:pPr>
        <w:jc w:val="center"/>
        <w:ind w:left="7540"/>
        <w:spacing w:after="0"/>
        <w:rPr>
          <w:sz w:val="20"/>
          <w:szCs w:val="20"/>
          <w:color w:val="auto"/>
        </w:rPr>
      </w:pPr>
      <w:r>
        <w:rPr>
          <w:rFonts w:ascii="Arial" w:cs="Arial" w:eastAsia="Arial" w:hAnsi="Arial"/>
          <w:sz w:val="18"/>
          <w:szCs w:val="18"/>
          <w:color w:val="auto"/>
        </w:rPr>
        <w:t>(Principal Financial and Accounting Officer)</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Eric H. Brunngraber, certify that:</w:t>
      </w:r>
    </w:p>
    <w:p>
      <w:pPr>
        <w:spacing w:after="0" w:line="225"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Cass Information Systems, Inc.;</w:t>
      </w:r>
    </w:p>
    <w:p>
      <w:pPr>
        <w:spacing w:after="0" w:line="252" w:lineRule="exact"/>
        <w:rPr>
          <w:rFonts w:ascii="Arial" w:cs="Arial" w:eastAsia="Arial" w:hAnsi="Arial"/>
          <w:sz w:val="18"/>
          <w:szCs w:val="18"/>
          <w:color w:val="auto"/>
        </w:rPr>
      </w:pPr>
    </w:p>
    <w:p>
      <w:pPr>
        <w:ind w:left="180" w:hanging="172"/>
        <w:spacing w:after="0" w:line="332" w:lineRule="auto"/>
        <w:tabs>
          <w:tab w:leader="none" w:pos="1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6" w:lineRule="exact"/>
        <w:rPr>
          <w:rFonts w:ascii="Arial" w:cs="Arial" w:eastAsia="Arial" w:hAnsi="Arial"/>
          <w:sz w:val="16"/>
          <w:szCs w:val="16"/>
          <w:color w:val="auto"/>
        </w:rPr>
      </w:pPr>
    </w:p>
    <w:p>
      <w:pPr>
        <w:ind w:left="180" w:hanging="172"/>
        <w:spacing w:after="0" w:line="268" w:lineRule="auto"/>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2" w:lineRule="exact"/>
        <w:rPr>
          <w:rFonts w:ascii="Arial" w:cs="Arial" w:eastAsia="Arial" w:hAnsi="Arial"/>
          <w:sz w:val="18"/>
          <w:szCs w:val="18"/>
          <w:color w:val="auto"/>
        </w:rPr>
      </w:pPr>
    </w:p>
    <w:p>
      <w:pPr>
        <w:jc w:val="both"/>
        <w:ind w:left="180" w:hanging="172"/>
        <w:spacing w:after="0" w:line="259" w:lineRule="auto"/>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1" w:lineRule="exact"/>
        <w:rPr>
          <w:rFonts w:ascii="Arial" w:cs="Arial" w:eastAsia="Arial" w:hAnsi="Arial"/>
          <w:sz w:val="18"/>
          <w:szCs w:val="18"/>
          <w:color w:val="auto"/>
        </w:rPr>
      </w:pPr>
    </w:p>
    <w:p>
      <w:pPr>
        <w:jc w:val="both"/>
        <w:ind w:left="420" w:hanging="236"/>
        <w:spacing w:after="0" w:line="259" w:lineRule="auto"/>
        <w:tabs>
          <w:tab w:leader="none" w:pos="4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1" w:lineRule="exact"/>
        <w:rPr>
          <w:rFonts w:ascii="Arial" w:cs="Arial" w:eastAsia="Arial" w:hAnsi="Arial"/>
          <w:sz w:val="18"/>
          <w:szCs w:val="18"/>
          <w:color w:val="auto"/>
        </w:rPr>
      </w:pPr>
    </w:p>
    <w:p>
      <w:pPr>
        <w:jc w:val="both"/>
        <w:ind w:left="420" w:hanging="236"/>
        <w:spacing w:after="0" w:line="259" w:lineRule="auto"/>
        <w:tabs>
          <w:tab w:leader="none" w:pos="4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1" w:lineRule="exact"/>
        <w:rPr>
          <w:rFonts w:ascii="Arial" w:cs="Arial" w:eastAsia="Arial" w:hAnsi="Arial"/>
          <w:sz w:val="18"/>
          <w:szCs w:val="18"/>
          <w:color w:val="auto"/>
        </w:rPr>
      </w:pPr>
    </w:p>
    <w:p>
      <w:pPr>
        <w:ind w:left="420" w:hanging="236"/>
        <w:spacing w:after="0" w:line="268" w:lineRule="auto"/>
        <w:tabs>
          <w:tab w:leader="none" w:pos="4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2" w:lineRule="exact"/>
        <w:rPr>
          <w:rFonts w:ascii="Arial" w:cs="Arial" w:eastAsia="Arial" w:hAnsi="Arial"/>
          <w:sz w:val="18"/>
          <w:szCs w:val="18"/>
          <w:color w:val="auto"/>
        </w:rPr>
      </w:pPr>
    </w:p>
    <w:p>
      <w:pPr>
        <w:jc w:val="both"/>
        <w:ind w:left="420" w:hanging="236"/>
        <w:spacing w:after="0" w:line="259" w:lineRule="auto"/>
        <w:tabs>
          <w:tab w:leader="none" w:pos="4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1" w:lineRule="exact"/>
        <w:rPr>
          <w:rFonts w:ascii="Arial" w:cs="Arial" w:eastAsia="Arial" w:hAnsi="Arial"/>
          <w:sz w:val="18"/>
          <w:szCs w:val="18"/>
          <w:color w:val="auto"/>
        </w:rPr>
      </w:pPr>
    </w:p>
    <w:p>
      <w:pPr>
        <w:ind w:left="180" w:right="20" w:hanging="172"/>
        <w:spacing w:after="0" w:line="332" w:lineRule="auto"/>
        <w:tabs>
          <w:tab w:leader="none" w:pos="1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rFonts w:ascii="Arial" w:cs="Arial" w:eastAsia="Arial" w:hAnsi="Arial"/>
          <w:sz w:val="16"/>
          <w:szCs w:val="16"/>
          <w:color w:val="auto"/>
        </w:rPr>
      </w:pPr>
    </w:p>
    <w:p>
      <w:pPr>
        <w:ind w:left="420" w:hanging="236"/>
        <w:spacing w:after="0" w:line="268" w:lineRule="auto"/>
        <w:tabs>
          <w:tab w:leader="none" w:pos="4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2" w:lineRule="exact"/>
        <w:rPr>
          <w:rFonts w:ascii="Arial" w:cs="Arial" w:eastAsia="Arial" w:hAnsi="Arial"/>
          <w:sz w:val="18"/>
          <w:szCs w:val="18"/>
          <w:color w:val="auto"/>
        </w:rPr>
      </w:pPr>
    </w:p>
    <w:p>
      <w:pPr>
        <w:ind w:left="420" w:hanging="236"/>
        <w:spacing w:after="0" w:line="268" w:lineRule="auto"/>
        <w:tabs>
          <w:tab w:leader="none" w:pos="4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2017</w:t>
      </w:r>
    </w:p>
    <w:p>
      <w:pPr>
        <w:spacing w:after="0" w:line="36" w:lineRule="exact"/>
        <w:rPr>
          <w:sz w:val="20"/>
          <w:szCs w:val="20"/>
          <w:color w:val="auto"/>
        </w:rPr>
      </w:pPr>
    </w:p>
    <w:p>
      <w:pPr>
        <w:ind w:left="8880"/>
        <w:spacing w:after="0"/>
        <w:rPr>
          <w:sz w:val="20"/>
          <w:szCs w:val="20"/>
          <w:color w:val="auto"/>
        </w:rPr>
      </w:pPr>
      <w:r>
        <w:rPr>
          <w:rFonts w:ascii="Arial" w:cs="Arial" w:eastAsia="Arial" w:hAnsi="Arial"/>
          <w:sz w:val="18"/>
          <w:szCs w:val="18"/>
          <w:color w:val="auto"/>
        </w:rPr>
        <w:t>/s/ Eric H. Brunngraber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19685</wp:posOffset>
            </wp:positionV>
            <wp:extent cx="216979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0"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Eric H. Brunngraber</w:t>
      </w:r>
    </w:p>
    <w:p>
      <w:pPr>
        <w:spacing w:after="0" w:line="36"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Chairman, President and Chief Executive</w:t>
      </w:r>
    </w:p>
    <w:p>
      <w:pPr>
        <w:spacing w:after="0" w:line="36"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Officer</w:t>
      </w:r>
    </w:p>
    <w:p>
      <w:pPr>
        <w:spacing w:after="0" w:line="36"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267575"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P. Stephen Appelbaum, certify that:</w:t>
      </w:r>
    </w:p>
    <w:p>
      <w:pPr>
        <w:spacing w:after="0" w:line="225"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Cass Information Systems, Inc.;</w:t>
      </w:r>
    </w:p>
    <w:p>
      <w:pPr>
        <w:spacing w:after="0" w:line="252" w:lineRule="exact"/>
        <w:rPr>
          <w:rFonts w:ascii="Arial" w:cs="Arial" w:eastAsia="Arial" w:hAnsi="Arial"/>
          <w:sz w:val="18"/>
          <w:szCs w:val="18"/>
          <w:color w:val="auto"/>
        </w:rPr>
      </w:pPr>
    </w:p>
    <w:p>
      <w:pPr>
        <w:ind w:left="180" w:hanging="172"/>
        <w:spacing w:after="0" w:line="332" w:lineRule="auto"/>
        <w:tabs>
          <w:tab w:leader="none" w:pos="1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6" w:lineRule="exact"/>
        <w:rPr>
          <w:rFonts w:ascii="Arial" w:cs="Arial" w:eastAsia="Arial" w:hAnsi="Arial"/>
          <w:sz w:val="16"/>
          <w:szCs w:val="16"/>
          <w:color w:val="auto"/>
        </w:rPr>
      </w:pPr>
    </w:p>
    <w:p>
      <w:pPr>
        <w:ind w:left="180" w:hanging="172"/>
        <w:spacing w:after="0" w:line="268" w:lineRule="auto"/>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2" w:lineRule="exact"/>
        <w:rPr>
          <w:rFonts w:ascii="Arial" w:cs="Arial" w:eastAsia="Arial" w:hAnsi="Arial"/>
          <w:sz w:val="18"/>
          <w:szCs w:val="18"/>
          <w:color w:val="auto"/>
        </w:rPr>
      </w:pPr>
    </w:p>
    <w:p>
      <w:pPr>
        <w:jc w:val="both"/>
        <w:ind w:left="180" w:hanging="172"/>
        <w:spacing w:after="0" w:line="259" w:lineRule="auto"/>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1" w:lineRule="exact"/>
        <w:rPr>
          <w:rFonts w:ascii="Arial" w:cs="Arial" w:eastAsia="Arial" w:hAnsi="Arial"/>
          <w:sz w:val="18"/>
          <w:szCs w:val="18"/>
          <w:color w:val="auto"/>
        </w:rPr>
      </w:pPr>
    </w:p>
    <w:p>
      <w:pPr>
        <w:jc w:val="both"/>
        <w:ind w:left="420" w:hanging="236"/>
        <w:spacing w:after="0" w:line="259" w:lineRule="auto"/>
        <w:tabs>
          <w:tab w:leader="none" w:pos="4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1" w:lineRule="exact"/>
        <w:rPr>
          <w:rFonts w:ascii="Arial" w:cs="Arial" w:eastAsia="Arial" w:hAnsi="Arial"/>
          <w:sz w:val="18"/>
          <w:szCs w:val="18"/>
          <w:color w:val="auto"/>
        </w:rPr>
      </w:pPr>
    </w:p>
    <w:p>
      <w:pPr>
        <w:jc w:val="both"/>
        <w:ind w:left="420" w:hanging="236"/>
        <w:spacing w:after="0" w:line="259" w:lineRule="auto"/>
        <w:tabs>
          <w:tab w:leader="none" w:pos="4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1" w:lineRule="exact"/>
        <w:rPr>
          <w:rFonts w:ascii="Arial" w:cs="Arial" w:eastAsia="Arial" w:hAnsi="Arial"/>
          <w:sz w:val="18"/>
          <w:szCs w:val="18"/>
          <w:color w:val="auto"/>
        </w:rPr>
      </w:pPr>
    </w:p>
    <w:p>
      <w:pPr>
        <w:ind w:left="420" w:hanging="236"/>
        <w:spacing w:after="0" w:line="268" w:lineRule="auto"/>
        <w:tabs>
          <w:tab w:leader="none" w:pos="4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2" w:lineRule="exact"/>
        <w:rPr>
          <w:rFonts w:ascii="Arial" w:cs="Arial" w:eastAsia="Arial" w:hAnsi="Arial"/>
          <w:sz w:val="18"/>
          <w:szCs w:val="18"/>
          <w:color w:val="auto"/>
        </w:rPr>
      </w:pPr>
    </w:p>
    <w:p>
      <w:pPr>
        <w:jc w:val="both"/>
        <w:ind w:left="420" w:hanging="236"/>
        <w:spacing w:after="0" w:line="259" w:lineRule="auto"/>
        <w:tabs>
          <w:tab w:leader="none" w:pos="4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1" w:lineRule="exact"/>
        <w:rPr>
          <w:rFonts w:ascii="Arial" w:cs="Arial" w:eastAsia="Arial" w:hAnsi="Arial"/>
          <w:sz w:val="18"/>
          <w:szCs w:val="18"/>
          <w:color w:val="auto"/>
        </w:rPr>
      </w:pPr>
    </w:p>
    <w:p>
      <w:pPr>
        <w:ind w:left="180" w:right="20" w:hanging="172"/>
        <w:spacing w:after="0" w:line="332" w:lineRule="auto"/>
        <w:tabs>
          <w:tab w:leader="none" w:pos="1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rFonts w:ascii="Arial" w:cs="Arial" w:eastAsia="Arial" w:hAnsi="Arial"/>
          <w:sz w:val="16"/>
          <w:szCs w:val="16"/>
          <w:color w:val="auto"/>
        </w:rPr>
      </w:pPr>
    </w:p>
    <w:p>
      <w:pPr>
        <w:ind w:left="420" w:hanging="236"/>
        <w:spacing w:after="0" w:line="268" w:lineRule="auto"/>
        <w:tabs>
          <w:tab w:leader="none" w:pos="4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2" w:lineRule="exact"/>
        <w:rPr>
          <w:rFonts w:ascii="Arial" w:cs="Arial" w:eastAsia="Arial" w:hAnsi="Arial"/>
          <w:sz w:val="18"/>
          <w:szCs w:val="18"/>
          <w:color w:val="auto"/>
        </w:rPr>
      </w:pPr>
    </w:p>
    <w:p>
      <w:pPr>
        <w:ind w:left="420" w:hanging="236"/>
        <w:spacing w:after="0" w:line="268" w:lineRule="auto"/>
        <w:tabs>
          <w:tab w:leader="none" w:pos="4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2017</w:t>
      </w:r>
    </w:p>
    <w:p>
      <w:pPr>
        <w:spacing w:after="0" w:line="36" w:lineRule="exact"/>
        <w:rPr>
          <w:sz w:val="20"/>
          <w:szCs w:val="20"/>
          <w:color w:val="auto"/>
        </w:rPr>
      </w:pPr>
    </w:p>
    <w:p>
      <w:pPr>
        <w:ind w:left="8800"/>
        <w:spacing w:after="0"/>
        <w:rPr>
          <w:sz w:val="20"/>
          <w:szCs w:val="20"/>
          <w:color w:val="auto"/>
        </w:rPr>
      </w:pPr>
      <w:r>
        <w:rPr>
          <w:rFonts w:ascii="Arial" w:cs="Arial" w:eastAsia="Arial" w:hAnsi="Arial"/>
          <w:sz w:val="18"/>
          <w:szCs w:val="18"/>
          <w:color w:val="auto"/>
        </w:rPr>
        <w:t>/s/ P. Stephen Appelbaum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19685</wp:posOffset>
            </wp:positionV>
            <wp:extent cx="216979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0"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P. Stephen Appelbaum</w:t>
      </w:r>
    </w:p>
    <w:p>
      <w:pPr>
        <w:spacing w:after="0" w:line="36" w:lineRule="exact"/>
        <w:rPr>
          <w:sz w:val="20"/>
          <w:szCs w:val="20"/>
          <w:color w:val="auto"/>
        </w:rPr>
      </w:pPr>
    </w:p>
    <w:p>
      <w:pPr>
        <w:ind w:left="8000"/>
        <w:spacing w:after="0"/>
        <w:rPr>
          <w:sz w:val="20"/>
          <w:szCs w:val="20"/>
          <w:color w:val="auto"/>
        </w:rPr>
      </w:pPr>
      <w:r>
        <w:rPr>
          <w:rFonts w:ascii="Arial" w:cs="Arial" w:eastAsia="Arial" w:hAnsi="Arial"/>
          <w:sz w:val="16"/>
          <w:szCs w:val="16"/>
          <w:color w:val="auto"/>
        </w:rPr>
        <w:t>Executive Vice President and Chief Financial</w:t>
      </w:r>
    </w:p>
    <w:p>
      <w:pPr>
        <w:spacing w:after="0" w:line="59"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Officer</w:t>
      </w:r>
    </w:p>
    <w:p>
      <w:pPr>
        <w:spacing w:after="0" w:line="36" w:lineRule="exact"/>
        <w:rPr>
          <w:sz w:val="20"/>
          <w:szCs w:val="20"/>
          <w:color w:val="auto"/>
        </w:rPr>
      </w:pPr>
    </w:p>
    <w:p>
      <w:pPr>
        <w:ind w:left="8000"/>
        <w:spacing w:after="0"/>
        <w:rPr>
          <w:sz w:val="20"/>
          <w:szCs w:val="20"/>
          <w:color w:val="auto"/>
        </w:rPr>
      </w:pPr>
      <w:r>
        <w:rPr>
          <w:rFonts w:ascii="Arial" w:cs="Arial" w:eastAsia="Arial" w:hAnsi="Arial"/>
          <w:sz w:val="16"/>
          <w:szCs w:val="16"/>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255270</wp:posOffset>
            </wp:positionV>
            <wp:extent cx="7267575"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of Cass Information Systems, Inc. (“the Company”) on Form 10-Q for the period ended June 30, 2017 as filed with the Securities and Exchange Commission on the date hereof (the “Report”), I, Eric H. Brunngraber, Chairman, President, and Chief Executive Officer of the Company, certify, pursuant to 18 U.S.C. § 1350, as adopted pursuant to § 906 of the Sarbanes-Oxley Act of 2002, that:</w:t>
      </w:r>
    </w:p>
    <w:p>
      <w:pPr>
        <w:spacing w:after="0" w:line="208" w:lineRule="exact"/>
        <w:rPr>
          <w:sz w:val="20"/>
          <w:szCs w:val="20"/>
          <w:color w:val="auto"/>
        </w:rPr>
      </w:pPr>
    </w:p>
    <w:p>
      <w:pPr>
        <w:ind w:left="620" w:hanging="342"/>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65" w:lineRule="exact"/>
        <w:rPr>
          <w:rFonts w:ascii="Arial" w:cs="Arial" w:eastAsia="Arial" w:hAnsi="Arial"/>
          <w:sz w:val="18"/>
          <w:szCs w:val="18"/>
          <w:color w:val="auto"/>
        </w:rPr>
      </w:pPr>
    </w:p>
    <w:p>
      <w:pPr>
        <w:ind w:left="620" w:hanging="342"/>
        <w:spacing w:after="0"/>
        <w:tabs>
          <w:tab w:leader="none" w:pos="6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89" w:lineRule="exact"/>
        <w:rPr>
          <w:sz w:val="20"/>
          <w:szCs w:val="20"/>
          <w:color w:val="auto"/>
        </w:rPr>
      </w:pPr>
    </w:p>
    <w:p>
      <w:pPr>
        <w:ind w:left="8880"/>
        <w:spacing w:after="0"/>
        <w:rPr>
          <w:sz w:val="20"/>
          <w:szCs w:val="20"/>
          <w:color w:val="auto"/>
        </w:rPr>
      </w:pPr>
      <w:r>
        <w:rPr>
          <w:rFonts w:ascii="Arial" w:cs="Arial" w:eastAsia="Arial" w:hAnsi="Arial"/>
          <w:sz w:val="18"/>
          <w:szCs w:val="18"/>
          <w:color w:val="auto"/>
        </w:rPr>
        <w:t>/s/ Eric H. Brunngraber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19685</wp:posOffset>
            </wp:positionV>
            <wp:extent cx="216979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0"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Eric H. Brunngraber</w:t>
      </w:r>
    </w:p>
    <w:p>
      <w:pPr>
        <w:spacing w:after="0" w:line="36"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Chairman, President and Chief Executive</w:t>
      </w:r>
    </w:p>
    <w:p>
      <w:pPr>
        <w:spacing w:after="0" w:line="36"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Officer</w:t>
      </w:r>
    </w:p>
    <w:p>
      <w:pPr>
        <w:spacing w:after="0" w:line="36"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(Principal Executive Officer)</w:t>
      </w:r>
    </w:p>
    <w:p>
      <w:pPr>
        <w:spacing w:after="0" w:line="36"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August 4, 2017</w:t>
      </w:r>
    </w:p>
    <w:p>
      <w:pPr>
        <w:spacing w:after="0" w:line="23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Cass Information Systems, Inc. and will be retained by Cass Information Systems,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67575"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connection with the Quarterly Report of Cass Information Systems, Inc. (“the Company”) on Form 10-Q for the period ended June 30, 2017 as filed with the Securities and Exchange Commission on the date hereof (the “Report”), I, P. Stephen Appelbaum, Executive Vice President and Chief Financial Officer of the Company, certify, pursuant to 18 U.S.C. § 1350, as adopted pursuant to § 906 of the Sarbanes-Oxley Act of 2002, that:</w:t>
      </w:r>
    </w:p>
    <w:p>
      <w:pPr>
        <w:spacing w:after="0" w:line="161" w:lineRule="exact"/>
        <w:rPr>
          <w:sz w:val="20"/>
          <w:szCs w:val="20"/>
          <w:color w:val="auto"/>
        </w:rPr>
      </w:pPr>
    </w:p>
    <w:p>
      <w:pPr>
        <w:ind w:left="620" w:hanging="342"/>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79" w:lineRule="exact"/>
        <w:rPr>
          <w:rFonts w:ascii="Arial" w:cs="Arial" w:eastAsia="Arial" w:hAnsi="Arial"/>
          <w:sz w:val="18"/>
          <w:szCs w:val="18"/>
          <w:color w:val="auto"/>
        </w:rPr>
      </w:pPr>
    </w:p>
    <w:p>
      <w:pPr>
        <w:ind w:left="620" w:hanging="342"/>
        <w:spacing w:after="0"/>
        <w:tabs>
          <w:tab w:leader="none" w:pos="6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89" w:lineRule="exact"/>
        <w:rPr>
          <w:sz w:val="20"/>
          <w:szCs w:val="20"/>
          <w:color w:val="auto"/>
        </w:rPr>
      </w:pPr>
    </w:p>
    <w:p>
      <w:pPr>
        <w:ind w:left="8800"/>
        <w:spacing w:after="0"/>
        <w:rPr>
          <w:sz w:val="20"/>
          <w:szCs w:val="20"/>
          <w:color w:val="auto"/>
        </w:rPr>
      </w:pPr>
      <w:r>
        <w:rPr>
          <w:rFonts w:ascii="Arial" w:cs="Arial" w:eastAsia="Arial" w:hAnsi="Arial"/>
          <w:sz w:val="18"/>
          <w:szCs w:val="18"/>
          <w:color w:val="auto"/>
        </w:rPr>
        <w:t>/s/ P. Stephen Appelbaum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19685</wp:posOffset>
            </wp:positionV>
            <wp:extent cx="216979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0"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P. Stephen Appelbaum</w:t>
      </w:r>
    </w:p>
    <w:p>
      <w:pPr>
        <w:spacing w:after="0" w:line="36" w:lineRule="exact"/>
        <w:rPr>
          <w:sz w:val="20"/>
          <w:szCs w:val="20"/>
          <w:color w:val="auto"/>
        </w:rPr>
      </w:pPr>
    </w:p>
    <w:p>
      <w:pPr>
        <w:ind w:left="8000"/>
        <w:spacing w:after="0"/>
        <w:rPr>
          <w:sz w:val="20"/>
          <w:szCs w:val="20"/>
          <w:color w:val="auto"/>
        </w:rPr>
      </w:pPr>
      <w:r>
        <w:rPr>
          <w:rFonts w:ascii="Arial" w:cs="Arial" w:eastAsia="Arial" w:hAnsi="Arial"/>
          <w:sz w:val="16"/>
          <w:szCs w:val="16"/>
          <w:color w:val="auto"/>
        </w:rPr>
        <w:t>Executive Vice President and Chief Financial</w:t>
      </w:r>
    </w:p>
    <w:p>
      <w:pPr>
        <w:spacing w:after="0" w:line="59"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Officer</w:t>
      </w:r>
    </w:p>
    <w:p>
      <w:pPr>
        <w:spacing w:after="0" w:line="36" w:lineRule="exact"/>
        <w:rPr>
          <w:sz w:val="20"/>
          <w:szCs w:val="20"/>
          <w:color w:val="auto"/>
        </w:rPr>
      </w:pPr>
    </w:p>
    <w:p>
      <w:pPr>
        <w:ind w:left="8000"/>
        <w:spacing w:after="0"/>
        <w:rPr>
          <w:sz w:val="20"/>
          <w:szCs w:val="20"/>
          <w:color w:val="auto"/>
        </w:rPr>
      </w:pPr>
      <w:r>
        <w:rPr>
          <w:rFonts w:ascii="Arial" w:cs="Arial" w:eastAsia="Arial" w:hAnsi="Arial"/>
          <w:sz w:val="16"/>
          <w:szCs w:val="16"/>
          <w:color w:val="auto"/>
        </w:rPr>
        <w:t>(Principal Financial and Accounting Officer)</w:t>
      </w:r>
    </w:p>
    <w:p>
      <w:pPr>
        <w:spacing w:after="0" w:line="59"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August 4, 2017</w:t>
      </w:r>
    </w:p>
    <w:p>
      <w:pPr>
        <w:spacing w:after="0" w:line="23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Cass Information Systems, Inc. and will be retained by Cass Information Systems,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67575"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bullet"/>
      <w:start w:val="1"/>
    </w:lvl>
  </w:abstractNum>
  <w:abstractNum w:abstractNumId="3">
    <w:nsid w:val="515F007C"/>
    <w:multiLevelType w:val="hybridMultilevel"/>
    <w:lvl w:ilvl="0">
      <w:lvlJc w:val="left"/>
      <w:lvlText w:val="1"/>
      <w:numFmt w:val="bullet"/>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1)"/>
      <w:numFmt w:val="lowerLetter"/>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2019-12-05T10:18:59Z</dcterms:created>
  <dcterms:modified xsi:type="dcterms:W3CDTF">2019-12-05T10:18:59Z</dcterms:modified>
</cp:coreProperties>
</file>