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3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10-K</w:t>
      </w:r>
    </w:p>
    <w:tbl>
      <w:tblPr>
        <w:tblW w:w="8202" w:type="dxa"/>
        <w:jc w:val="center"/>
        <w:tblInd w:w="0" w:type="dxa"/>
        <w:tblCellMar>
          <w:top w:w="28" w:type="dxa"/>
          <w:left w:w="28" w:type="dxa"/>
          <w:bottom w:w="28" w:type="dxa"/>
          <w:right w:w="28" w:type="dxa"/>
        </w:tblCellMar>
      </w:tblPr>
      <w:tblGrid>
        <w:gridCol w:w="358"/>
        <w:gridCol w:w="315"/>
        <w:gridCol w:w="317"/>
        <w:gridCol w:w="2278"/>
        <w:gridCol w:w="2278"/>
        <w:gridCol w:w="2284"/>
        <w:gridCol w:w="109"/>
        <w:gridCol w:w="109"/>
        <w:gridCol w:w="154"/>
      </w:tblGrid>
      <w:tr>
        <w:trPr/>
        <w:tc>
          <w:tcPr>
            <w:tcW w:w="3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(Mark One) </w:t>
            </w:r>
          </w:p>
        </w:tc>
        <w:tc>
          <w:tcPr>
            <w:tcW w:w="6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ANNUAL REPORT PURSUANT TO SECTION 13 OR 15(d) OF THE SECURITIES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OF 1934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xml:space="preserve">☐ </w:t>
            </w:r>
          </w:p>
        </w:tc>
        <w:tc>
          <w:tcPr>
            <w:tcW w:w="6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TRANSITION REPORT PURSUANT TO SECTION 13 OR 15(d) OF THE </w:t>
              <w:br/>
              <w:t xml:space="preserve">SECURITIES EXCHANGE ACT OF 1934 </w:t>
              <w:br/>
              <w:t xml:space="preserve">For the transition period from _______ to _______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000-20827</w:t>
      </w:r>
    </w:p>
    <w:p>
      <w:pPr>
        <w:pStyle w:val="TextBody"/>
        <w:spacing w:before="240" w:after="283"/>
        <w:jc w:val="center"/>
        <w:rPr/>
      </w:pPr>
      <w:r>
        <w:rPr/>
        <w:drawing>
          <wp:inline distT="0" distB="63500" distL="0" distR="0">
            <wp:extent cx="5905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 cy="523875"/>
                    </a:xfrm>
                    <a:prstGeom prst="rect">
                      <a:avLst/>
                    </a:prstGeom>
                  </pic:spPr>
                </pic:pic>
              </a:graphicData>
            </a:graphic>
          </wp:inline>
        </w:drawing>
      </w:r>
    </w:p>
    <w:tbl>
      <w:tblPr>
        <w:tblW w:w="9273" w:type="dxa"/>
        <w:jc w:val="center"/>
        <w:tblInd w:w="0" w:type="dxa"/>
        <w:tblCellMar>
          <w:top w:w="28" w:type="dxa"/>
          <w:left w:w="28" w:type="dxa"/>
          <w:bottom w:w="28" w:type="dxa"/>
          <w:right w:w="28" w:type="dxa"/>
        </w:tblCellMar>
      </w:tblPr>
      <w:tblGrid>
        <w:gridCol w:w="972"/>
        <w:gridCol w:w="856"/>
        <w:gridCol w:w="856"/>
        <w:gridCol w:w="865"/>
        <w:gridCol w:w="865"/>
        <w:gridCol w:w="865"/>
        <w:gridCol w:w="287"/>
        <w:gridCol w:w="287"/>
        <w:gridCol w:w="287"/>
        <w:gridCol w:w="484"/>
        <w:gridCol w:w="484"/>
        <w:gridCol w:w="484"/>
        <w:gridCol w:w="484"/>
        <w:gridCol w:w="484"/>
        <w:gridCol w:w="713"/>
      </w:tblGrid>
      <w:tr>
        <w:trPr/>
        <w:tc>
          <w:tcPr>
            <w:tcW w:w="97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r>
      <w:tr>
        <w:trPr/>
        <w:tc>
          <w:tcPr>
            <w:tcW w:w="927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24"/>
              </w:rPr>
            </w:pPr>
            <w:r>
              <w:rPr>
                <w:rFonts w:ascii="Times New Roman;sans-serif" w:hAnsi="Times New Roman;sans-serif"/>
                <w:b/>
                <w:color w:val="000000"/>
                <w:sz w:val="24"/>
              </w:rPr>
              <w:t>CASS INFORMATION SYSTEMS, INC.</w:t>
            </w:r>
          </w:p>
        </w:tc>
      </w:tr>
      <w:tr>
        <w:trPr/>
        <w:tc>
          <w:tcPr>
            <w:tcW w:w="26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89"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color w:val="000000"/>
              </w:rPr>
            </w:pPr>
            <w:r>
              <w:rPr>
                <w:color w:val="000000"/>
              </w:rPr>
              <w:t> </w:t>
            </w:r>
          </w:p>
        </w:tc>
      </w:tr>
      <w:tr>
        <w:trPr/>
        <w:tc>
          <w:tcPr>
            <w:tcW w:w="26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89"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9273"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490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68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25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Missouri </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13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43-1265338 </w:t>
            </w:r>
          </w:p>
        </w:tc>
      </w:tr>
      <w:tr>
        <w:trPr/>
        <w:tc>
          <w:tcPr>
            <w:tcW w:w="527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incorporation or organization)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13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Identification No.) </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45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68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527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12444 Powerscourt Drive, Suite 550, St. Louis, Missouri 63131 </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13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(314) 506-5500 </w:t>
            </w:r>
          </w:p>
        </w:tc>
      </w:tr>
      <w:tr>
        <w:trPr/>
        <w:tc>
          <w:tcPr>
            <w:tcW w:w="527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(Zip Code) </w:t>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color w:val="000000"/>
              </w:rPr>
            </w:pPr>
            <w:r>
              <w:rPr>
                <w:color w:val="000000"/>
              </w:rPr>
              <w:t> </w:t>
            </w:r>
          </w:p>
        </w:tc>
        <w:tc>
          <w:tcPr>
            <w:tcW w:w="3133"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(Telephone Number, incl. area code) </w:t>
            </w:r>
          </w:p>
        </w:tc>
      </w:tr>
    </w:tbl>
    <w:tbl>
      <w:tblPr>
        <w:tblW w:w="10205" w:type="dxa"/>
        <w:jc w:val="center"/>
        <w:tblInd w:w="0" w:type="dxa"/>
        <w:tblCellMar>
          <w:top w:w="28" w:type="dxa"/>
          <w:left w:w="28" w:type="dxa"/>
          <w:bottom w:w="28" w:type="dxa"/>
          <w:right w:w="28" w:type="dxa"/>
        </w:tblCellMar>
      </w:tblPr>
      <w:tblGrid>
        <w:gridCol w:w="1233"/>
        <w:gridCol w:w="1058"/>
        <w:gridCol w:w="1054"/>
        <w:gridCol w:w="494"/>
        <w:gridCol w:w="494"/>
        <w:gridCol w:w="494"/>
        <w:gridCol w:w="534"/>
        <w:gridCol w:w="504"/>
        <w:gridCol w:w="504"/>
        <w:gridCol w:w="109"/>
        <w:gridCol w:w="109"/>
        <w:gridCol w:w="109"/>
        <w:gridCol w:w="1026"/>
        <w:gridCol w:w="1026"/>
        <w:gridCol w:w="1457"/>
      </w:tblGrid>
      <w:tr>
        <w:trPr/>
        <w:tc>
          <w:tcPr>
            <w:tcW w:w="123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r>
      <w:tr>
        <w:trPr/>
        <w:tc>
          <w:tcPr>
            <w:tcW w:w="6369"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$0.50 per share </w:t>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CASS </w:t>
            </w:r>
          </w:p>
        </w:tc>
        <w:tc>
          <w:tcPr>
            <w:tcW w:w="3836" w:type="dxa"/>
            <w:gridSpan w:val="6"/>
            <w:tcBorders/>
            <w:shd w:fill="auto" w:val="clear"/>
            <w:tcMar>
              <w:top w:w="0" w:type="dxa"/>
              <w:left w:w="0" w:type="dxa"/>
              <w:bottom w:w="0" w:type="dxa"/>
              <w:right w:w="0" w:type="dxa"/>
            </w:tcMar>
            <w:vAlign w:val="center"/>
          </w:tcPr>
          <w:p>
            <w:pPr>
              <w:pStyle w:val="TableContents"/>
              <w:spacing w:lineRule="auto" w:line="273" w:before="0" w:after="0"/>
              <w:jc w:val="center"/>
              <w:rPr>
                <w:color w:val="000000"/>
              </w:rPr>
            </w:pPr>
            <w:r>
              <w:rPr>
                <w:color w:val="000000"/>
              </w:rPr>
              <w:t>  </w:t>
            </w:r>
            <w:r>
              <w:rPr>
                <w:rFonts w:ascii="Times New Roman;sans-serif" w:hAnsi="Times New Roman;sans-serif"/>
                <w:b w:val="false"/>
                <w:color w:val="000000"/>
                <w:sz w:val="20"/>
              </w:rPr>
              <w:t xml:space="preserve">The Nasdaq Global Select Market   </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6369"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12(g) of the Act: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xml:space="preserve">          </w:t>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334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8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50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spacing w:lineRule="auto" w:line="288" w:before="0" w:after="0"/>
        <w:jc w:val="righ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spacing w:lineRule="auto" w:line="288" w:before="0" w:after="0"/>
        <w:jc w:val="righ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0" w:after="0"/>
        <w:jc w:val="righ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0" w:after="0"/>
        <w:jc w:val="righ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spacing w:lineRule="auto" w:line="288" w:before="240" w:after="283"/>
        <w:jc w:val="both"/>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color w:val="000000"/>
        </w:rPr>
        <w:t xml:space="preserve">☐ </w:t>
      </w:r>
      <w:r>
        <w:rPr>
          <w:rFonts w:ascii="Times New Roman;sans-serif" w:hAnsi="Times New Roman;sans-serif"/>
          <w:b w:val="false"/>
          <w:color w:val="000000"/>
          <w:sz w:val="20"/>
        </w:rPr>
        <w:t xml:space="preserve">Accelerated filer: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Non-accelerated filer: </w:t>
      </w:r>
      <w:r>
        <w:rPr>
          <w:color w:val="000000"/>
        </w:rPr>
        <w:t xml:space="preserve">☐ </w:t>
      </w: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w:t>
      </w:r>
    </w:p>
    <w:p>
      <w:pPr>
        <w:pStyle w:val="TextBody"/>
        <w:spacing w:lineRule="auto" w:line="288" w:before="24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240" w:after="283"/>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0" w:after="0"/>
        <w:jc w:val="righ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common stock held by non-affiliates of the Registrant was approximately $543,951,000 based on the closing price of the common stock of $40.75 on June 30, 2021, as reported by The Nasdaq Global Select Market. As of February 15, 2022, the Registrant had 13,694,489 shares outstanding of common stock.</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for Part III of this report is incorporated by reference to the Registrant’s Proxy Statement for the 2022 Annual Meeting of Shareholders. </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Auditor Name: KPMG LLP    Auditor Location: St. Louis, MO    Auditor Firm ID: 185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CASS INFORMATION SYSTEMS,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10-K ANNUAL REPORT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93"/>
        <w:gridCol w:w="257"/>
        <w:gridCol w:w="259"/>
        <w:gridCol w:w="3093"/>
        <w:gridCol w:w="2975"/>
        <w:gridCol w:w="2952"/>
        <w:gridCol w:w="109"/>
        <w:gridCol w:w="109"/>
        <w:gridCol w:w="158"/>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093"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29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3">
              <w:r>
                <w:rPr>
                  <w:rStyle w:val="InternetLink"/>
                  <w:rFonts w:ascii="Times New Roman;sans-serif" w:hAnsi="Times New Roman;sans-serif"/>
                  <w:b w:val="false"/>
                  <w:color w:val="0000FF"/>
                  <w:sz w:val="20"/>
                  <w:u w:val="single"/>
                </w:rPr>
                <w:t>PART I.</w:t>
              </w:r>
            </w:hyperlink>
          </w:p>
        </w:tc>
        <w:tc>
          <w:tcPr>
            <w:tcW w:w="90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1440"/>
              <w:jc w:val="left"/>
              <w:rPr/>
            </w:pPr>
            <w:hyperlink w:anchor="i762133f56c7c41b383049c54c32cc294_16">
              <w:r>
                <w:rPr>
                  <w:rStyle w:val="InternetLink"/>
                  <w:rFonts w:ascii="Times New Roman;sans-serif" w:hAnsi="Times New Roman;sans-serif"/>
                  <w:b w:val="false"/>
                  <w:color w:val="0000FF"/>
                  <w:sz w:val="20"/>
                  <w:u w:val="single"/>
                </w:rPr>
                <w:t>Item 1.</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1440"/>
              <w:jc w:val="left"/>
              <w:rPr/>
            </w:pPr>
            <w:hyperlink w:anchor="i762133f56c7c41b383049c54c32cc294_16">
              <w:r>
                <w:rPr>
                  <w:rStyle w:val="InternetLink"/>
                  <w:rFonts w:ascii="Times New Roman;sans-serif" w:hAnsi="Times New Roman;sans-serif"/>
                  <w:b w:val="false"/>
                  <w:color w:val="0000FF"/>
                  <w:sz w:val="20"/>
                  <w:u w:val="single"/>
                </w:rPr>
                <w:t>BUSINESS</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16">
              <w:r>
                <w:rPr>
                  <w:rStyle w:val="InternetLink"/>
                  <w:rFonts w:ascii="Times New Roman;sans-serif" w:hAnsi="Times New Roman;sans-serif"/>
                  <w:b w:val="false"/>
                  <w:color w:val="0000EE"/>
                  <w:sz w:val="20"/>
                  <w:u w:val="single"/>
                </w:rPr>
                <w:t>1</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9">
              <w:r>
                <w:rPr>
                  <w:rStyle w:val="InternetLink"/>
                  <w:rFonts w:ascii="Times New Roman;sans-serif" w:hAnsi="Times New Roman;sans-serif"/>
                  <w:b w:val="false"/>
                  <w:color w:val="0000FF"/>
                  <w:sz w:val="20"/>
                  <w:u w:val="single"/>
                </w:rPr>
                <w:t>Item 1A.</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9">
              <w:r>
                <w:rPr>
                  <w:rStyle w:val="InternetLink"/>
                  <w:rFonts w:ascii="Times New Roman;sans-serif" w:hAnsi="Times New Roman;sans-serif"/>
                  <w:b w:val="false"/>
                  <w:color w:val="0000FF"/>
                  <w:sz w:val="20"/>
                  <w:u w:val="single"/>
                </w:rPr>
                <w:t>RISK FACTORS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19">
              <w:r>
                <w:rPr>
                  <w:rStyle w:val="InternetLink"/>
                  <w:rFonts w:ascii="Times New Roman;sans-serif" w:hAnsi="Times New Roman;sans-serif"/>
                  <w:b w:val="false"/>
                  <w:color w:val="0000EE"/>
                  <w:sz w:val="20"/>
                  <w:u w:val="single"/>
                </w:rPr>
                <w:t>10</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
              <w:r>
                <w:rPr>
                  <w:rStyle w:val="InternetLink"/>
                  <w:rFonts w:ascii="Times New Roman;sans-serif" w:hAnsi="Times New Roman;sans-serif"/>
                  <w:b w:val="false"/>
                  <w:color w:val="0000FF"/>
                  <w:sz w:val="20"/>
                  <w:u w:val="single"/>
                </w:rPr>
                <w:t>Item 1B.</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
              <w:r>
                <w:rPr>
                  <w:rStyle w:val="InternetLink"/>
                  <w:rFonts w:ascii="Times New Roman;sans-serif" w:hAnsi="Times New Roman;sans-serif"/>
                  <w:b w:val="false"/>
                  <w:color w:val="0000FF"/>
                  <w:sz w:val="20"/>
                  <w:u w:val="single"/>
                </w:rPr>
                <w:t>UNRESOLVED STAFF COMMENTS</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2">
              <w:r>
                <w:rPr>
                  <w:rStyle w:val="InternetLink"/>
                  <w:rFonts w:ascii="Times New Roman;sans-serif" w:hAnsi="Times New Roman;sans-serif"/>
                  <w:b w:val="false"/>
                  <w:color w:val="0000EE"/>
                  <w:sz w:val="20"/>
                  <w:u w:val="single"/>
                </w:rPr>
                <w:t>17</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5">
              <w:r>
                <w:rPr>
                  <w:rStyle w:val="InternetLink"/>
                  <w:rFonts w:ascii="Times New Roman;sans-serif" w:hAnsi="Times New Roman;sans-serif"/>
                  <w:b w:val="false"/>
                  <w:color w:val="0000FF"/>
                  <w:sz w:val="20"/>
                  <w:u w:val="single"/>
                </w:rPr>
                <w:t>Item 2.</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5">
              <w:r>
                <w:rPr>
                  <w:rStyle w:val="InternetLink"/>
                  <w:rFonts w:ascii="Times New Roman;sans-serif" w:hAnsi="Times New Roman;sans-serif"/>
                  <w:b w:val="false"/>
                  <w:color w:val="0000FF"/>
                  <w:sz w:val="20"/>
                  <w:u w:val="single"/>
                </w:rPr>
                <w:t>PROPERTIES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5">
              <w:r>
                <w:rPr>
                  <w:rStyle w:val="InternetLink"/>
                  <w:rFonts w:ascii="Times New Roman;sans-serif" w:hAnsi="Times New Roman;sans-serif"/>
                  <w:b w:val="false"/>
                  <w:color w:val="0000EE"/>
                  <w:sz w:val="20"/>
                  <w:u w:val="single"/>
                </w:rPr>
                <w:t>17</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8">
              <w:r>
                <w:rPr>
                  <w:rStyle w:val="InternetLink"/>
                  <w:rFonts w:ascii="Times New Roman;sans-serif" w:hAnsi="Times New Roman;sans-serif"/>
                  <w:b w:val="false"/>
                  <w:color w:val="0000FF"/>
                  <w:sz w:val="20"/>
                  <w:u w:val="single"/>
                </w:rPr>
                <w:t>Item 3.</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8">
              <w:r>
                <w:rPr>
                  <w:rStyle w:val="InternetLink"/>
                  <w:rFonts w:ascii="Times New Roman;sans-serif" w:hAnsi="Times New Roman;sans-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8">
              <w:r>
                <w:rPr>
                  <w:rStyle w:val="InternetLink"/>
                  <w:rFonts w:ascii="Times New Roman;sans-serif" w:hAnsi="Times New Roman;sans-serif"/>
                  <w:b w:val="false"/>
                  <w:color w:val="0000EE"/>
                  <w:sz w:val="20"/>
                  <w:u w:val="single"/>
                </w:rPr>
                <w:t>17</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31">
              <w:r>
                <w:rPr>
                  <w:rStyle w:val="InternetLink"/>
                  <w:rFonts w:ascii="Times New Roman;sans-serif" w:hAnsi="Times New Roman;sans-serif"/>
                  <w:b w:val="false"/>
                  <w:color w:val="0000FF"/>
                  <w:sz w:val="20"/>
                  <w:u w:val="single"/>
                </w:rPr>
                <w:t>Item 4.</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31">
              <w:r>
                <w:rPr>
                  <w:rStyle w:val="InternetLink"/>
                  <w:rFonts w:ascii="Times New Roman;sans-serif" w:hAnsi="Times New Roman;sans-serif"/>
                  <w:b w:val="false"/>
                  <w:color w:val="0000FF"/>
                  <w:sz w:val="20"/>
                  <w:u w:val="single"/>
                </w:rPr>
                <w:t>MINE SAFETY DISCLOSURES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31">
              <w:r>
                <w:rPr>
                  <w:rStyle w:val="InternetLink"/>
                  <w:rFonts w:ascii="Times New Roman;sans-serif" w:hAnsi="Times New Roman;sans-serif"/>
                  <w:b w:val="false"/>
                  <w:color w:val="0000EE"/>
                  <w:sz w:val="20"/>
                  <w:u w:val="single"/>
                </w:rPr>
                <w:t>18</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34">
              <w:r>
                <w:rPr>
                  <w:rStyle w:val="InternetLink"/>
                  <w:rFonts w:ascii="Times New Roman;sans-serif" w:hAnsi="Times New Roman;sans-serif"/>
                  <w:b w:val="false"/>
                  <w:color w:val="0000FF"/>
                  <w:sz w:val="20"/>
                  <w:u w:val="single"/>
                </w:rPr>
                <w:t>PART II.</w:t>
              </w:r>
            </w:hyperlink>
          </w:p>
        </w:tc>
        <w:tc>
          <w:tcPr>
            <w:tcW w:w="9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37">
              <w:r>
                <w:rPr>
                  <w:rStyle w:val="InternetLink"/>
                  <w:rFonts w:ascii="Times New Roman;sans-serif" w:hAnsi="Times New Roman;sans-serif"/>
                  <w:b w:val="false"/>
                  <w:color w:val="0000FF"/>
                  <w:sz w:val="20"/>
                  <w:u w:val="single"/>
                </w:rPr>
                <w:t>Item 5.</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37">
              <w:r>
                <w:rPr>
                  <w:rStyle w:val="InternetLink"/>
                  <w:rFonts w:ascii="Times New Roman;sans-serif" w:hAnsi="Times New Roman;sans-serif"/>
                  <w:b w:val="false"/>
                  <w:color w:val="0000EE"/>
                  <w:sz w:val="20"/>
                  <w:u w:val="single"/>
                </w:rPr>
                <w:t>19</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40">
              <w:r>
                <w:rPr>
                  <w:rStyle w:val="InternetLink"/>
                  <w:rFonts w:ascii="Times New Roman;sans-serif" w:hAnsi="Times New Roman;sans-serif"/>
                  <w:b w:val="false"/>
                  <w:color w:val="0000FF"/>
                  <w:sz w:val="20"/>
                  <w:u w:val="single"/>
                </w:rPr>
                <w:t>Item 6.</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40">
              <w:r>
                <w:rPr>
                  <w:rStyle w:val="InternetLink"/>
                  <w:rFonts w:ascii="Times New Roman;sans-serif" w:hAnsi="Times New Roman;sans-serif"/>
                  <w:b w:val="false"/>
                  <w:color w:val="0000FF"/>
                  <w:sz w:val="20"/>
                  <w:u w:val="single"/>
                </w:rPr>
                <w:t>RESERVED</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40">
              <w:r>
                <w:rPr>
                  <w:rStyle w:val="InternetLink"/>
                  <w:rFonts w:ascii="Times New Roman;sans-serif" w:hAnsi="Times New Roman;sans-serif"/>
                  <w:b w:val="false"/>
                  <w:color w:val="0000EE"/>
                  <w:sz w:val="20"/>
                  <w:u w:val="single"/>
                </w:rPr>
                <w:t>20</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43">
              <w:r>
                <w:rPr>
                  <w:rStyle w:val="InternetLink"/>
                  <w:rFonts w:ascii="Times New Roman;sans-serif" w:hAnsi="Times New Roman;sans-serif"/>
                  <w:b w:val="false"/>
                  <w:color w:val="0000FF"/>
                  <w:sz w:val="20"/>
                  <w:u w:val="single"/>
                </w:rPr>
                <w:t>Item 7.</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43">
              <w:r>
                <w:rPr>
                  <w:rStyle w:val="InternetLink"/>
                  <w:rFonts w:ascii="Times New Roman;sans-serif" w:hAnsi="Times New Roman;sans-serif"/>
                  <w:b w:val="false"/>
                  <w:color w:val="0000EE"/>
                  <w:sz w:val="20"/>
                  <w:u w:val="single"/>
                </w:rPr>
                <w:t>20</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15">
              <w:r>
                <w:rPr>
                  <w:rStyle w:val="InternetLink"/>
                  <w:rFonts w:ascii="Times New Roman;sans-serif" w:hAnsi="Times New Roman;sans-serif"/>
                  <w:b w:val="false"/>
                  <w:color w:val="0000FF"/>
                  <w:sz w:val="20"/>
                  <w:u w:val="single"/>
                </w:rPr>
                <w:t>Item 7A.</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15">
              <w:r>
                <w:rPr>
                  <w:rStyle w:val="InternetLink"/>
                  <w:rFonts w:ascii="Times New Roman;sans-serif" w:hAnsi="Times New Roman;sans-serif"/>
                  <w:b w:val="false"/>
                  <w:color w:val="0000FF"/>
                  <w:sz w:val="20"/>
                  <w:u w:val="single"/>
                </w:rPr>
                <w:t>QUANTITATIVE AND QUALITATIVE DISCLOSURES ABOUT MARKET RISK</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115">
              <w:r>
                <w:rPr>
                  <w:rStyle w:val="InternetLink"/>
                  <w:rFonts w:ascii="Times New Roman;sans-serif" w:hAnsi="Times New Roman;sans-serif"/>
                  <w:b w:val="false"/>
                  <w:color w:val="0000EE"/>
                  <w:sz w:val="20"/>
                  <w:u w:val="single"/>
                </w:rPr>
                <w:t>35</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18">
              <w:r>
                <w:rPr>
                  <w:rStyle w:val="InternetLink"/>
                  <w:rFonts w:ascii="Times New Roman;sans-serif" w:hAnsi="Times New Roman;sans-serif"/>
                  <w:b w:val="false"/>
                  <w:color w:val="0000FF"/>
                  <w:sz w:val="20"/>
                  <w:u w:val="single"/>
                </w:rPr>
                <w:t>Item 8.</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118">
              <w:r>
                <w:rPr>
                  <w:rStyle w:val="InternetLink"/>
                  <w:rFonts w:ascii="Times New Roman;sans-serif" w:hAnsi="Times New Roman;sans-serif"/>
                  <w:b w:val="false"/>
                  <w:color w:val="0000FF"/>
                  <w:sz w:val="20"/>
                  <w:u w:val="single"/>
                </w:rPr>
                <w:t>FINANCIAL STATEMENTS AND SUPPLEMENTARY DATA</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118">
              <w:r>
                <w:rPr>
                  <w:rStyle w:val="InternetLink"/>
                  <w:rFonts w:ascii="Times New Roman;sans-serif" w:hAnsi="Times New Roman;sans-serif"/>
                  <w:b w:val="false"/>
                  <w:color w:val="0000EE"/>
                  <w:sz w:val="20"/>
                  <w:u w:val="single"/>
                </w:rPr>
                <w:t>37</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08">
              <w:r>
                <w:rPr>
                  <w:rStyle w:val="InternetLink"/>
                  <w:rFonts w:ascii="Times New Roman;sans-serif" w:hAnsi="Times New Roman;sans-serif"/>
                  <w:b w:val="false"/>
                  <w:color w:val="0000FF"/>
                  <w:sz w:val="20"/>
                  <w:u w:val="single"/>
                </w:rPr>
                <w:t>Item 9.</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0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08">
              <w:r>
                <w:rPr>
                  <w:rStyle w:val="InternetLink"/>
                  <w:rFonts w:ascii="Times New Roman;sans-serif" w:hAnsi="Times New Roman;sans-serif"/>
                  <w:b w:val="false"/>
                  <w:color w:val="0000EE"/>
                  <w:sz w:val="20"/>
                  <w:u w:val="single"/>
                </w:rPr>
                <w:t>76</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11">
              <w:r>
                <w:rPr>
                  <w:rStyle w:val="InternetLink"/>
                  <w:rFonts w:ascii="Times New Roman;sans-serif" w:hAnsi="Times New Roman;sans-serif"/>
                  <w:b w:val="false"/>
                  <w:color w:val="0000FF"/>
                  <w:sz w:val="20"/>
                  <w:u w:val="single"/>
                </w:rPr>
                <w:t>Item 9A.</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11">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11">
              <w:r>
                <w:rPr>
                  <w:rStyle w:val="InternetLink"/>
                  <w:rFonts w:ascii="Times New Roman;sans-serif" w:hAnsi="Times New Roman;sans-serif"/>
                  <w:b w:val="false"/>
                  <w:color w:val="0000EE"/>
                  <w:sz w:val="20"/>
                  <w:u w:val="single"/>
                </w:rPr>
                <w:t>76</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17">
              <w:r>
                <w:rPr>
                  <w:rStyle w:val="InternetLink"/>
                  <w:rFonts w:ascii="Times New Roman;sans-serif" w:hAnsi="Times New Roman;sans-serif"/>
                  <w:b w:val="false"/>
                  <w:color w:val="0000FF"/>
                  <w:sz w:val="20"/>
                  <w:u w:val="single"/>
                </w:rPr>
                <w:t>Item 9B.</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17">
              <w:r>
                <w:rPr>
                  <w:rStyle w:val="InternetLink"/>
                  <w:rFonts w:ascii="Times New Roman;sans-serif" w:hAnsi="Times New Roman;sans-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17">
              <w:r>
                <w:rPr>
                  <w:rStyle w:val="InternetLink"/>
                  <w:rFonts w:ascii="Times New Roman;sans-serif" w:hAnsi="Times New Roman;sans-serif"/>
                  <w:b w:val="false"/>
                  <w:color w:val="0000EE"/>
                  <w:sz w:val="20"/>
                  <w:u w:val="single"/>
                </w:rPr>
                <w:t>78</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564">
              <w:r>
                <w:rPr>
                  <w:rStyle w:val="InternetLink"/>
                  <w:rFonts w:ascii="Times New Roman;sans-serif" w:hAnsi="Times New Roman;sans-serif"/>
                  <w:b w:val="false"/>
                  <w:color w:val="0000FF"/>
                  <w:sz w:val="20"/>
                  <w:u w:val="single"/>
                </w:rPr>
                <w:t>Item 9C.</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564">
              <w:r>
                <w:rPr>
                  <w:rStyle w:val="InternetLink"/>
                  <w:rFonts w:ascii="Times New Roman;sans-serif" w:hAnsi="Times New Roman;sans-serif"/>
                  <w:b w:val="false"/>
                  <w:color w:val="0000FF"/>
                  <w:sz w:val="20"/>
                  <w:u w:val="single"/>
                </w:rPr>
                <w:t>DISCLOSURE REGARDING FOREIGN JURISDICTIONS THAT PREVENT INSPECTIONS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564">
              <w:r>
                <w:rPr>
                  <w:rStyle w:val="InternetLink"/>
                  <w:rFonts w:ascii="Times New Roman;sans-serif" w:hAnsi="Times New Roman;sans-serif"/>
                  <w:b w:val="false"/>
                  <w:color w:val="0000EE"/>
                  <w:sz w:val="20"/>
                  <w:u w:val="single"/>
                </w:rPr>
                <w:t>78</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0">
              <w:r>
                <w:rPr>
                  <w:rStyle w:val="InternetLink"/>
                  <w:rFonts w:ascii="Times New Roman;sans-serif" w:hAnsi="Times New Roman;sans-serif"/>
                  <w:b w:val="false"/>
                  <w:color w:val="0000FF"/>
                  <w:sz w:val="20"/>
                  <w:u w:val="single"/>
                </w:rPr>
                <w:t>PART III.</w:t>
              </w:r>
            </w:hyperlink>
          </w:p>
        </w:tc>
        <w:tc>
          <w:tcPr>
            <w:tcW w:w="9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3">
              <w:r>
                <w:rPr>
                  <w:rStyle w:val="InternetLink"/>
                  <w:rFonts w:ascii="Times New Roman;sans-serif" w:hAnsi="Times New Roman;sans-serif"/>
                  <w:b w:val="false"/>
                  <w:color w:val="0000FF"/>
                  <w:sz w:val="20"/>
                  <w:u w:val="single"/>
                </w:rPr>
                <w:t>Item 10.</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3">
              <w:r>
                <w:rPr>
                  <w:rStyle w:val="InternetLink"/>
                  <w:rFonts w:ascii="Times New Roman;sans-serif" w:hAnsi="Times New Roman;sans-serif"/>
                  <w:b w:val="false"/>
                  <w:color w:val="0000FF"/>
                  <w:sz w:val="20"/>
                  <w:u w:val="single"/>
                </w:rPr>
                <w:t>DIRECTORS, EXECUTIVE OFFICERS AND CORPORATE GOVERNANCE</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23">
              <w:r>
                <w:rPr>
                  <w:rStyle w:val="InternetLink"/>
                  <w:rFonts w:ascii="Times New Roman;sans-serif" w:hAnsi="Times New Roman;sans-serif"/>
                  <w:b w:val="false"/>
                  <w:color w:val="0000EE"/>
                  <w:sz w:val="20"/>
                  <w:u w:val="single"/>
                </w:rPr>
                <w:t>79</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6">
              <w:r>
                <w:rPr>
                  <w:rStyle w:val="InternetLink"/>
                  <w:rFonts w:ascii="Times New Roman;sans-serif" w:hAnsi="Times New Roman;sans-serif"/>
                  <w:b w:val="false"/>
                  <w:color w:val="0000FF"/>
                  <w:sz w:val="20"/>
                  <w:u w:val="single"/>
                </w:rPr>
                <w:t>Item 11.</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6">
              <w:r>
                <w:rPr>
                  <w:rStyle w:val="InternetLink"/>
                  <w:rFonts w:ascii="Times New Roman;sans-serif" w:hAnsi="Times New Roman;sans-serif"/>
                  <w:b w:val="false"/>
                  <w:color w:val="0000FF"/>
                  <w:sz w:val="20"/>
                  <w:u w:val="single"/>
                </w:rPr>
                <w:t>EXECUTIVE COMPENSATION</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26">
              <w:r>
                <w:rPr>
                  <w:rStyle w:val="InternetLink"/>
                  <w:rFonts w:ascii="Times New Roman;sans-serif" w:hAnsi="Times New Roman;sans-serif"/>
                  <w:b w:val="false"/>
                  <w:color w:val="0000EE"/>
                  <w:sz w:val="20"/>
                  <w:u w:val="single"/>
                </w:rPr>
                <w:t>79</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9">
              <w:r>
                <w:rPr>
                  <w:rStyle w:val="InternetLink"/>
                  <w:rFonts w:ascii="Times New Roman;sans-serif" w:hAnsi="Times New Roman;sans-serif"/>
                  <w:b w:val="false"/>
                  <w:color w:val="0000FF"/>
                  <w:sz w:val="20"/>
                  <w:u w:val="single"/>
                </w:rPr>
                <w:t>Item 12.</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2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29">
              <w:r>
                <w:rPr>
                  <w:rStyle w:val="InternetLink"/>
                  <w:rFonts w:ascii="Times New Roman;sans-serif" w:hAnsi="Times New Roman;sans-serif"/>
                  <w:b w:val="false"/>
                  <w:color w:val="0000EE"/>
                  <w:sz w:val="20"/>
                  <w:u w:val="single"/>
                </w:rPr>
                <w:t>79</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32">
              <w:r>
                <w:rPr>
                  <w:rStyle w:val="InternetLink"/>
                  <w:rFonts w:ascii="Times New Roman;sans-serif" w:hAnsi="Times New Roman;sans-serif"/>
                  <w:b w:val="false"/>
                  <w:color w:val="0000FF"/>
                  <w:sz w:val="20"/>
                  <w:u w:val="single"/>
                </w:rPr>
                <w:t>Item 13.</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3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32">
              <w:r>
                <w:rPr>
                  <w:rStyle w:val="InternetLink"/>
                  <w:rFonts w:ascii="Times New Roman;sans-serif" w:hAnsi="Times New Roman;sans-serif"/>
                  <w:b w:val="false"/>
                  <w:color w:val="0000EE"/>
                  <w:sz w:val="20"/>
                  <w:u w:val="single"/>
                </w:rPr>
                <w:t>80</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35">
              <w:r>
                <w:rPr>
                  <w:rStyle w:val="InternetLink"/>
                  <w:rFonts w:ascii="Times New Roman;sans-serif" w:hAnsi="Times New Roman;sans-serif"/>
                  <w:b w:val="false"/>
                  <w:color w:val="0000FF"/>
                  <w:sz w:val="20"/>
                  <w:u w:val="single"/>
                </w:rPr>
                <w:t>Item 14.</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35">
              <w:r>
                <w:rPr>
                  <w:rStyle w:val="InternetLink"/>
                  <w:rFonts w:ascii="Times New Roman;sans-serif" w:hAnsi="Times New Roman;sans-serif"/>
                  <w:b w:val="false"/>
                  <w:color w:val="0000FF"/>
                  <w:sz w:val="20"/>
                  <w:u w:val="single"/>
                </w:rPr>
                <w:t>PRINCIPAL ACCOUNTANT FEES AND SERVICES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35">
              <w:r>
                <w:rPr>
                  <w:rStyle w:val="InternetLink"/>
                  <w:rFonts w:ascii="Times New Roman;sans-serif" w:hAnsi="Times New Roman;sans-serif"/>
                  <w:b w:val="false"/>
                  <w:color w:val="0000EE"/>
                  <w:sz w:val="20"/>
                  <w:u w:val="single"/>
                </w:rPr>
                <w:t>80</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38">
              <w:r>
                <w:rPr>
                  <w:rStyle w:val="InternetLink"/>
                  <w:rFonts w:ascii="Times New Roman;sans-serif" w:hAnsi="Times New Roman;sans-serif"/>
                  <w:b w:val="false"/>
                  <w:color w:val="0000FF"/>
                  <w:sz w:val="20"/>
                  <w:u w:val="single"/>
                </w:rPr>
                <w:t>PART IV.</w:t>
              </w:r>
            </w:hyperlink>
          </w:p>
        </w:tc>
        <w:tc>
          <w:tcPr>
            <w:tcW w:w="9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41">
              <w:r>
                <w:rPr>
                  <w:rStyle w:val="InternetLink"/>
                  <w:rFonts w:ascii="Times New Roman;sans-serif" w:hAnsi="Times New Roman;sans-serif"/>
                  <w:b w:val="false"/>
                  <w:color w:val="0000FF"/>
                  <w:sz w:val="20"/>
                  <w:u w:val="single"/>
                </w:rPr>
                <w:t>Item 15.</w:t>
              </w:r>
            </w:hyperlink>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41">
              <w:r>
                <w:rPr>
                  <w:rStyle w:val="InternetLink"/>
                  <w:rFonts w:ascii="Times New Roman;sans-serif" w:hAnsi="Times New Roman;sans-serif"/>
                  <w:b w:val="false"/>
                  <w:color w:val="0000FF"/>
                  <w:sz w:val="20"/>
                  <w:u w:val="single"/>
                </w:rPr>
                <w:t>EXHIBITS AND FINANCIAL STATEMENT SCHEDULES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41">
              <w:r>
                <w:rPr>
                  <w:rStyle w:val="InternetLink"/>
                  <w:rFonts w:ascii="Times New Roman;sans-serif" w:hAnsi="Times New Roman;sans-serif"/>
                  <w:b w:val="false"/>
                  <w:color w:val="0000EE"/>
                  <w:sz w:val="20"/>
                  <w:u w:val="single"/>
                </w:rPr>
                <w:t>81</w:t>
              </w:r>
            </w:hyperlink>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44">
              <w:r>
                <w:rPr>
                  <w:rStyle w:val="InternetLink"/>
                  <w:rFonts w:ascii="Times New Roman;sans-serif" w:hAnsi="Times New Roman;sans-serif"/>
                  <w:b w:val="false"/>
                  <w:color w:val="0000FF"/>
                  <w:sz w:val="20"/>
                  <w:u w:val="single"/>
                </w:rPr>
                <w:t>Item 16.</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44">
              <w:r>
                <w:rPr>
                  <w:rStyle w:val="InternetLink"/>
                  <w:rFonts w:ascii="Times New Roman;sans-serif" w:hAnsi="Times New Roman;sans-serif"/>
                  <w:b w:val="false"/>
                  <w:color w:val="0000FF"/>
                  <w:sz w:val="20"/>
                  <w:u w:val="single"/>
                </w:rPr>
                <w:t>FORM 10-K SUMMARY</w:t>
              </w:r>
            </w:hyperlink>
          </w:p>
        </w:tc>
        <w:tc>
          <w:tcPr>
            <w:tcW w:w="37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44">
              <w:r>
                <w:rPr>
                  <w:rStyle w:val="InternetLink"/>
                  <w:rFonts w:ascii="Times New Roman;sans-serif" w:hAnsi="Times New Roman;sans-serif"/>
                  <w:b w:val="false"/>
                  <w:color w:val="0000EE"/>
                  <w:sz w:val="20"/>
                  <w:u w:val="single"/>
                </w:rPr>
                <w:t>81</w:t>
              </w:r>
            </w:hyperlink>
          </w:p>
        </w:tc>
      </w:tr>
      <w:tr>
        <w:trPr/>
        <w:tc>
          <w:tcPr>
            <w:tcW w:w="8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DBDBDB" w:val="clear"/>
            <w:tcMar>
              <w:top w:w="0" w:type="dxa"/>
              <w:left w:w="0" w:type="dxa"/>
              <w:bottom w:w="0" w:type="dxa"/>
              <w:right w:w="0" w:type="dxa"/>
            </w:tcMar>
            <w:vAlign w:val="center"/>
          </w:tcPr>
          <w:p>
            <w:pPr>
              <w:pStyle w:val="TableContents"/>
              <w:spacing w:lineRule="auto" w:line="273" w:before="0" w:after="0"/>
              <w:jc w:val="left"/>
              <w:rPr/>
            </w:pPr>
            <w:hyperlink w:anchor="i762133f56c7c41b383049c54c32cc294_247">
              <w:r>
                <w:rPr>
                  <w:rStyle w:val="InternetLink"/>
                  <w:rFonts w:ascii="Times New Roman;sans-serif" w:hAnsi="Times New Roman;sans-serif"/>
                  <w:b w:val="false"/>
                  <w:color w:val="0000FF"/>
                  <w:sz w:val="20"/>
                  <w:u w:val="single"/>
                </w:rPr>
                <w:t>SIGNATURES</w:t>
              </w:r>
            </w:hyperlink>
          </w:p>
        </w:tc>
        <w:tc>
          <w:tcPr>
            <w:tcW w:w="376" w:type="dxa"/>
            <w:gridSpan w:val="3"/>
            <w:tcBorders/>
            <w:shd w:fill="DBDBDB" w:val="clear"/>
            <w:tcMar>
              <w:top w:w="0" w:type="dxa"/>
              <w:left w:w="0" w:type="dxa"/>
              <w:bottom w:w="0" w:type="dxa"/>
              <w:right w:w="0" w:type="dxa"/>
            </w:tcMar>
            <w:vAlign w:val="center"/>
          </w:tcPr>
          <w:p>
            <w:pPr>
              <w:pStyle w:val="TableContents"/>
              <w:spacing w:lineRule="auto" w:line="273" w:before="0" w:after="0"/>
              <w:jc w:val="right"/>
              <w:rPr/>
            </w:pPr>
            <w:hyperlink w:anchor="i762133f56c7c41b383049c54c32cc294_247">
              <w:r>
                <w:rPr>
                  <w:rStyle w:val="InternetLink"/>
                  <w:rFonts w:ascii="Times New Roman;sans-serif" w:hAnsi="Times New Roman;sans-serif"/>
                  <w:b w:val="false"/>
                  <w:color w:val="0000EE"/>
                  <w:sz w:val="20"/>
                  <w:u w:val="single"/>
                </w:rPr>
                <w:t>82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Forward-looking Statements - Factors That May Affect Future Results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 </w:t>
      </w:r>
      <w:r>
        <w:rPr>
          <w:rFonts w:ascii="Times New Roman;sans-serif" w:hAnsi="Times New Roman;sans-serif"/>
          <w:b/>
          <w:color w:val="000000"/>
          <w:sz w:val="20"/>
          <w:u w:val="single"/>
        </w:rPr>
        <w:t>BUSINESS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an on-line platform to provide generosity services for faith-based and non-profit organizations. The Company’s bank subsidiary, Cass Commercial Bank (the “Bank”), supports the Company’s payment operations. The Bank also provides banking services to its target markets, which include privately-owned businesses and faith-based ministries in the St. Louis metropolitan area as well as other selected cities in the United States.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Company Strategy and Core Competencies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is an information services company with a primary focus on processing payables and payables-related transactions for large corporations located in the United States. Cass possesses four core competencies that encompass most of its processing services. </w:t>
      </w:r>
    </w:p>
    <w:p>
      <w:pPr>
        <w:pStyle w:val="TextBody"/>
        <w:spacing w:lineRule="auto" w:line="288" w:before="240" w:after="283"/>
        <w:jc w:val="both"/>
        <w:rPr/>
      </w:pPr>
      <w:r>
        <w:rPr>
          <w:rFonts w:ascii="Times New Roman;sans-serif" w:hAnsi="Times New Roman;sans-serif"/>
          <w:b w:val="false"/>
          <w:i/>
          <w:color w:val="000000"/>
          <w:sz w:val="20"/>
        </w:rPr>
        <w:t>Data acquisition</w:t>
      </w:r>
      <w:r>
        <w:rPr>
          <w:color w:val="000000"/>
        </w:rPr>
        <w:t xml:space="preserve"> – </w:t>
      </w:r>
      <w:r>
        <w:rPr>
          <w:rFonts w:ascii="Times New Roman;sans-serif" w:hAnsi="Times New Roman;sans-serif"/>
          <w:b w:val="false"/>
          <w:color w:val="000000"/>
          <w:sz w:val="20"/>
        </w:rPr>
        <w:t xml:space="preserve">This refers to the gathering of data elements from diverse, heterogeneous sources and the building of complete databases for our 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 </w:t>
      </w:r>
    </w:p>
    <w:p>
      <w:pPr>
        <w:pStyle w:val="TextBody"/>
        <w:spacing w:lineRule="auto" w:line="288" w:before="240" w:after="283"/>
        <w:jc w:val="both"/>
        <w:rPr/>
      </w:pPr>
      <w:r>
        <w:rPr>
          <w:rFonts w:ascii="Times New Roman;sans-serif" w:hAnsi="Times New Roman;sans-serif"/>
          <w:b w:val="false"/>
          <w:i/>
          <w:color w:val="000000"/>
          <w:sz w:val="20"/>
        </w:rPr>
        <w:t>Data management</w:t>
      </w:r>
      <w:r>
        <w:rPr>
          <w:color w:val="000000"/>
        </w:rPr>
        <w:t xml:space="preserve"> – </w:t>
      </w:r>
      <w:r>
        <w:rPr>
          <w:rFonts w:ascii="Times New Roman;sans-serif" w:hAnsi="Times New Roman;sans-serif"/>
          <w:b w:val="false"/>
          <w:color w:val="000000"/>
          <w:sz w:val="20"/>
        </w:rPr>
        <w:t xml:space="preserve">Once data is assembled, Cass is able to utilize the power from derived information to produce significant savings and benefits for its 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 </w:t>
      </w:r>
    </w:p>
    <w:p>
      <w:pPr>
        <w:pStyle w:val="TextBody"/>
        <w:spacing w:lineRule="auto" w:line="288" w:before="240" w:after="283"/>
        <w:jc w:val="both"/>
        <w:rPr/>
      </w:pPr>
      <w:r>
        <w:rPr>
          <w:rFonts w:ascii="Times New Roman;sans-serif" w:hAnsi="Times New Roman;sans-serif"/>
          <w:b w:val="false"/>
          <w:i/>
          <w:color w:val="000000"/>
          <w:sz w:val="20"/>
        </w:rPr>
        <w:t>Business Intelligence</w:t>
      </w:r>
      <w:r>
        <w:rPr>
          <w:color w:val="000000"/>
        </w:rPr>
        <w:t xml:space="preserve"> – </w:t>
      </w:r>
      <w:r>
        <w:rPr>
          <w:rFonts w:ascii="Times New Roman;sans-serif" w:hAnsi="Times New Roman;sans-serif"/>
          <w:b w:val="false"/>
          <w:color w:val="000000"/>
          <w:sz w:val="20"/>
        </w:rPr>
        <w:t xml:space="preserve">Receiving information in the right place at the right time and in the required format is paramount for business survival. Cass’ 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 </w:t>
      </w:r>
    </w:p>
    <w:p>
      <w:pPr>
        <w:pStyle w:val="TextBody"/>
        <w:spacing w:lineRule="auto" w:line="288" w:before="240" w:after="283"/>
        <w:jc w:val="both"/>
        <w:rPr/>
      </w:pPr>
      <w:r>
        <w:rPr>
          <w:rFonts w:ascii="Times New Roman;sans-serif" w:hAnsi="Times New Roman;sans-serif"/>
          <w:b w:val="false"/>
          <w:i/>
          <w:color w:val="000000"/>
          <w:sz w:val="20"/>
        </w:rPr>
        <w:t>Financial exchange</w:t>
      </w:r>
      <w:r>
        <w:rPr>
          <w:color w:val="000000"/>
        </w:rPr>
        <w:t xml:space="preserve"> – </w:t>
      </w:r>
      <w:r>
        <w:rPr>
          <w:rFonts w:ascii="Times New Roman;sans-serif" w:hAnsi="Times New Roman;sans-serif"/>
          <w:b w:val="false"/>
          <w:color w:val="000000"/>
          <w:sz w:val="20"/>
        </w:rPr>
        <w:t xml:space="preserve">Since Cass is unique among its competition in that it owns a commercial bank, it is also able to manage the movement of funds from 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core competencies, enhanced through shared business processes, drive Cass’ strategic business units. Building upon these foundations, Cass continues to explore new business opportunities that leverage these competencies and processes.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Marketing, Customers and Competition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competes against small expense management companies along with large national account programs of major haulers. The Company division known as Gyve Generosity Services uses an on-line platform to provide generosity services for faith-based and non-profit organizations, which is a complementary service offering to the Bank’s faith-based customers. Also, the Company through its Integrated Payments business competes with providers of corporate payment solutions.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located in the St. Louis, Missouri area and faith-based ministries located in St. Louis, Missouri and other selected cities located throughout the United States.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several trademarks for the payment and rating services it provides. These include: FreightPay®, Transdata®, Ratemaker®, Best Rate®, Rate Exchange®, CassPort®, Cass Freight Index®, Cass Truckload Linehaul Index®, Cass Intermodal Price Index® Expense$mart®, ExpenseSmart®, WasteVision™ and Direct2Carrier Payments™. The Company holds patents for methods and systems for managing employee-liable expenses and methods and systems for communicating expense management information.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have a varied client base and are not dependent on any one customer or group of customers for a significant portion of its business.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had 884 full-time and 232 part-time employees as of February 15, 2022. Of these employees, the Bank had 65 full-time and no part-time employees.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program for most employees; a defined contribution 401(k) plan to provide retirement benefits to eligible employees; a performance-based equity compensation program for executive officers and key personnel; and incentive programs for loan and sales personnel. Cass also provides comprehensive health, dental, and vision plans to most employees, as well as free employee assistance programs to all employees and members of their families.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in employees’ future by assisting with tuition reimbursement for continued education throughout the Company’s employee ranks. Employees are also able to participate in educational seminars run by outside parties to maintain and expand professional knowledge.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develop a workforce that aligns with the Company’s corporate values, regularly sponsored campaigns and events occur, such as charitable workplace campaigns, food drives to assist local food banks, and toy drives to support charities during the holidays. Additionally, the Company supports a number of organizations with annual financial contributions.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Cass strives to place the health and well-being of employees above all else. Never has this been more necessary than during the novel coronavirus (“COVID-19”) pandemic. In response to the COVID-19 pandemic, the Company has taken significant steps to protect the health and well-being of employees and clients. These steps include implementing a work-from-home policy for the majority of employees and establishing safety guidelines in facilities based on guidance from the U.S. Centers for Disease Control and Prevention ("CDC").</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benefits of building a corporate culture that promotes diversity, equity and inclusion ("DEI") to foster unique ideas and ways of thinking. In pursuit of the Company's overall DEI mission, Cass focuses on: a) cultivating an environment that encourages collaboration, flexibility and fairness to enable all employees to contribute to their full potential; b) promoting diversity in our talent management and succession planning processes and employee development programs; and c) ensuring leadership commitment in facilitating the Company's DEI efforts.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Supervision and Regulation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 </w:t>
      </w:r>
    </w:p>
    <w:p>
      <w:pPr>
        <w:pStyle w:val="TextBody"/>
        <w:spacing w:lineRule="auto" w:line="288" w:before="240" w:after="283"/>
        <w:jc w:val="both"/>
        <w:rPr/>
      </w:pPr>
      <w:r>
        <w:rPr>
          <w:rFonts w:ascii="Times New Roman;sans-serif" w:hAnsi="Times New Roman;sans-serif"/>
          <w:b w:val="false"/>
          <w:i/>
          <w:color w:val="000000"/>
          <w:sz w:val="20"/>
        </w:rPr>
        <w:t>Bank Holding Company Activities</w:t>
      </w:r>
      <w:r>
        <w:rPr>
          <w:color w:val="000000"/>
        </w:rPr>
        <w:t xml:space="preserve"> – </w:t>
      </w:r>
      <w:r>
        <w:rPr>
          <w:rFonts w:ascii="Times New Roman;sans-serif" w:hAnsi="Times New Roman;sans-serif"/>
          <w:b w:val="false"/>
          <w:color w:val="000000"/>
          <w:sz w:val="20"/>
        </w:rPr>
        <w:t xml:space="preserve">In general, the BHC Act limits the business of bank holding companies to banking, managing or controlling banks and 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 </w:t>
      </w:r>
    </w:p>
    <w:p>
      <w:pPr>
        <w:pStyle w:val="TextBody"/>
        <w:spacing w:lineRule="auto" w:line="288" w:before="240" w:after="283"/>
        <w:jc w:val="both"/>
        <w:rPr/>
      </w:pPr>
      <w:r>
        <w:rPr>
          <w:rFonts w:ascii="Times New Roman;sans-serif" w:hAnsi="Times New Roman;sans-serif"/>
          <w:b w:val="false"/>
          <w:i/>
          <w:color w:val="000000"/>
          <w:sz w:val="20"/>
        </w:rPr>
        <w:t>The Dodd-Frank Act</w:t>
      </w:r>
      <w:r>
        <w:rPr>
          <w:color w:val="000000"/>
        </w:rPr>
        <w:t xml:space="preserve"> – </w:t>
      </w:r>
      <w:r>
        <w:rPr>
          <w:rFonts w:ascii="Times New Roman;sans-serif" w:hAnsi="Times New Roman;sans-serif"/>
          <w:b w:val="false"/>
          <w:color w:val="000000"/>
          <w:sz w:val="20"/>
        </w:rPr>
        <w:t xml:space="preserve">The Dodd-Frank Wall Street Reform and Consumer Protection Act (the “Dodd-Frank Act”), enacted in July 2010, significantly 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 </w:t>
      </w:r>
    </w:p>
    <w:p>
      <w:pPr>
        <w:pStyle w:val="TextBody"/>
        <w:spacing w:lineRule="auto" w:line="288" w:before="240" w:after="283"/>
        <w:jc w:val="both"/>
        <w:rPr/>
      </w:pPr>
      <w:r>
        <w:rPr>
          <w:rFonts w:ascii="Times New Roman;sans-serif" w:hAnsi="Times New Roman;sans-serif"/>
          <w:b w:val="false"/>
          <w:i/>
          <w:color w:val="000000"/>
          <w:sz w:val="20"/>
        </w:rPr>
        <w:t>Dividends and Stock Repurchases</w:t>
      </w:r>
      <w:r>
        <w:rPr>
          <w:color w:val="000000"/>
        </w:rPr>
        <w:t xml:space="preserve"> – </w:t>
      </w:r>
      <w:r>
        <w:rPr>
          <w:rFonts w:ascii="Times New Roman;sans-serif" w:hAnsi="Times New Roman;sans-serif"/>
          <w:b w:val="false"/>
          <w:color w:val="000000"/>
          <w:sz w:val="20"/>
        </w:rPr>
        <w:t xml:space="preserve">Both the Company and the Bank are subject to various regulations that restrict their ability to pay dividends and the amount of dividends that they may pay. Under 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2019, the federal bank regulators adopted final rules (the “Capital Simplifications Rules”) applicable to banks, like Cass, that are not subject to the advanced approaches capital framework that applies to large, internationally active banking organizations with at least $250 billion in total consolidated assets or at least $10 billion in total on-balance sheet foreign exposure. Among other things, the Capital Simplifications Rules eliminated the standalone Federal Reserve prior approval requirement in the Basel III Capital Rules for any repurchase of common stock. In certain circumstances, the Company’s repurchases of its common stock may be subject to a prior approval or notice requirement under other regulations, policies or supervisory expectations of the Federal Reserve Board. </w:t>
      </w:r>
    </w:p>
    <w:p>
      <w:pPr>
        <w:pStyle w:val="TextBody"/>
        <w:spacing w:lineRule="auto" w:line="288" w:before="240" w:after="283"/>
        <w:jc w:val="both"/>
        <w:rPr/>
      </w:pPr>
      <w:r>
        <w:rPr>
          <w:rFonts w:ascii="Times New Roman;sans-serif" w:hAnsi="Times New Roman;sans-serif"/>
          <w:b w:val="false"/>
          <w:i/>
          <w:color w:val="000000"/>
          <w:sz w:val="20"/>
        </w:rPr>
        <w:t>Capital Requirements</w:t>
      </w:r>
      <w:r>
        <w:rPr>
          <w:color w:val="000000"/>
        </w:rPr>
        <w:t xml:space="preserve"> – </w:t>
      </w:r>
      <w:r>
        <w:rPr>
          <w:rFonts w:ascii="Times New Roman;sans-serif" w:hAnsi="Times New Roman;sans-serif"/>
          <w:b w:val="false"/>
          <w:color w:val="000000"/>
          <w:sz w:val="20"/>
        </w:rPr>
        <w:t xml:space="preserve">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Basel III Capital Rules require the Company and the Bank to maintain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minimum ratio of common equity Tier 1 capital to risk-weighted assets of at least 4.5%, plus a 2.5% capital conservation buffer (resulting in a minimum common equity Tier 1 capital ration of 7.0%);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minimum ratio of Tier 1 capital to risk-weighted assets of at least 6.0%, plus a 2.5% capital conservation buffer (resulting in a minimum Tier 1 capital ratio of 8.5%);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minimum ratio of total capital (that is, Tier 1 plus Tier 2 capital) to risk-weighted assets of at least 8.0%, plus the 2.5% capital conservation buffer (resulting in a minimum total capital ratio of 10.5%);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minimum leverage ratio of 4.0%, calculated as the ratio of Tier 1 capital to adjusted average consolidated assets.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applicable regulations.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the federal bank regulatory agencies issued a final rule (the “2019 CECL Rule”) that revised certain capital regulations to account for changes to credit loss accounting under U.S. GAAP. The 2019 CECL Rule included a transition option that allows banking organizations to phase in, over a three-year period, the day-one adverse effects of adopting a new accounting standard related to the measurement of current expected credit losses (“CECL”) on their regulatory capital ratios (three-year transition option). In March 2020, the federal bank regulatory agencies issued an interim final rule that maintains the three-year transition option of the 2019 CECL Rule and also provides banking organizations that were required under U.S. GAAP (as of January 2020) to implement CECL before the end of 2020 the option to delay for two years an estimate of the effect of CECL on regulatory capital, relative to the incurred loss methodology’s effect on regulatory capital, followed by a three-year transition period (five-year transition option). The Company elected to not use either the three-year or five-year transition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FRB has authority to establish individual minimum capital requirements in appropriate cases upon a determination that an institution’s capital level is or may become inadequate in light of the particular risks or circumstances. As of December 31, 2021, the Company and the Bank met all capital adequacy requirements under the Basel III Capital Rules.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are currently set to go into effect on January 1, 2023, pushed back 12 months from the original implementation date of January 1, 2022 as a result of the Covid-19 pandemic,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 </w:t>
      </w:r>
    </w:p>
    <w:p>
      <w:pPr>
        <w:pStyle w:val="TextBody"/>
        <w:spacing w:lineRule="auto" w:line="288" w:before="240" w:after="283"/>
        <w:jc w:val="both"/>
        <w:rPr/>
      </w:pPr>
      <w:r>
        <w:rPr>
          <w:rFonts w:ascii="Times New Roman;sans-serif" w:hAnsi="Times New Roman;sans-serif"/>
          <w:b w:val="false"/>
          <w:i/>
          <w:color w:val="000000"/>
          <w:sz w:val="20"/>
        </w:rPr>
        <w:t>Source of Strength Doctrine</w:t>
      </w:r>
      <w:r>
        <w:rPr>
          <w:color w:val="000000"/>
        </w:rPr>
        <w:t xml:space="preserve"> – </w:t>
      </w:r>
      <w:r>
        <w:rPr>
          <w:rFonts w:ascii="Times New Roman;sans-serif" w:hAnsi="Times New Roman;sans-serif"/>
          <w:b w:val="false"/>
          <w:color w:val="000000"/>
          <w:sz w:val="20"/>
        </w:rPr>
        <w:t xml:space="preserve">FRB and other regulations require bank holding companies to act as a source of financial and managerial strength to their 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i/>
          <w:color w:val="000000"/>
          <w:sz w:val="20"/>
        </w:rPr>
        <w:t>Deposit Insurance</w:t>
      </w:r>
      <w:r>
        <w:rPr>
          <w:color w:val="000000"/>
        </w:rPr>
        <w:t xml:space="preserve"> – </w:t>
      </w:r>
      <w:r>
        <w:rPr>
          <w:rFonts w:ascii="Times New Roman;sans-serif" w:hAnsi="Times New Roman;sans-serif"/>
          <w:b w:val="false"/>
          <w:color w:val="000000"/>
          <w:sz w:val="20"/>
        </w:rPr>
        <w:t xml:space="preserve">Substantially all of the deposits of the Bank are insured up to applicable limits by the Deposit Insurance Fund (“DIF”) of the FDIC, 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FDIC insurance expense totaled $300,200, $152,500 and $108,700 for the years ended December 31, 2021, 2020 and 2019,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FDIC may terminate deposit insurance upon a finding that the institution has engaged in unsafe and unsound practices, is in an unsafe or unsound condition to continue operations, or has violated any applicable law, regulation, rule, order or condition imposed by the FDIC. </w:t>
      </w:r>
    </w:p>
    <w:p>
      <w:pPr>
        <w:pStyle w:val="TextBody"/>
        <w:spacing w:lineRule="auto" w:line="288" w:before="240" w:after="283"/>
        <w:jc w:val="both"/>
        <w:rPr/>
      </w:pPr>
      <w:r>
        <w:rPr>
          <w:rFonts w:ascii="Times New Roman;sans-serif" w:hAnsi="Times New Roman;sans-serif"/>
          <w:b w:val="false"/>
          <w:i/>
          <w:color w:val="000000"/>
          <w:sz w:val="20"/>
        </w:rPr>
        <w:t>Prompt Corrective Action</w:t>
      </w:r>
      <w:r>
        <w:rPr>
          <w:color w:val="000000"/>
        </w:rPr>
        <w:t xml:space="preserve"> – </w:t>
      </w:r>
      <w:r>
        <w:rPr>
          <w:rFonts w:ascii="Times New Roman;sans-serif" w:hAnsi="Times New Roman;sans-serif"/>
          <w:b w:val="false"/>
          <w:color w:val="000000"/>
          <w:sz w:val="20"/>
        </w:rPr>
        <w:t xml:space="preserve">The Basel III Capital Rules incorporate new requirements into the prompt correction action framework, described above. The 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most recent notification from the regulatory agencies categorized the Company and the Bank as well-capitalized. For further information regarding the capital ratios and leverage ratio of the Company and the Bank, see Item 8, Note 2 of this report.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i/>
          <w:color w:val="000000"/>
          <w:sz w:val="20"/>
        </w:rPr>
        <w:t>Safety and Soundness Regulations</w:t>
      </w:r>
      <w:r>
        <w:rPr>
          <w:color w:val="000000"/>
        </w:rPr>
        <w:t xml:space="preserve"> – </w:t>
      </w:r>
      <w:r>
        <w:rPr>
          <w:rFonts w:ascii="Times New Roman;sans-serif" w:hAnsi="Times New Roman;sans-serif"/>
          <w:b w:val="false"/>
          <w:color w:val="000000"/>
          <w:sz w:val="20"/>
        </w:rPr>
        <w:t xml:space="preserve">In accordance with the FDIA, the federal banking agencies adopted guidelines establishing general standards relating 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 </w:t>
      </w:r>
    </w:p>
    <w:p>
      <w:pPr>
        <w:pStyle w:val="TextBody"/>
        <w:spacing w:lineRule="auto" w:line="288" w:before="240" w:after="283"/>
        <w:jc w:val="both"/>
        <w:rPr/>
      </w:pPr>
      <w:r>
        <w:rPr>
          <w:rFonts w:ascii="Times New Roman;sans-serif" w:hAnsi="Times New Roman;sans-serif"/>
          <w:b w:val="false"/>
          <w:i/>
          <w:color w:val="000000"/>
          <w:sz w:val="20"/>
        </w:rPr>
        <w:t>Loans-to-One-Borrower</w:t>
      </w:r>
      <w:r>
        <w:rPr>
          <w:color w:val="000000"/>
        </w:rPr>
        <w:t xml:space="preserve"> – </w:t>
      </w:r>
      <w:r>
        <w:rPr>
          <w:rFonts w:ascii="Times New Roman;sans-serif" w:hAnsi="Times New Roman;sans-serif"/>
          <w:b w:val="false"/>
          <w:color w:val="000000"/>
          <w:sz w:val="20"/>
        </w:rPr>
        <w:t xml:space="preserve">The Bank generally may not make loans or extend credit to a single or related group of borrowers in excess of 15% of unimpaired capital and surplus. An additional amount may be loaned, up to 10% of unimpaired capital and surplus, if the loan is secured by readily marketable collateral, which generally does not include real estate. As of December 31, 2021, the Bank was in compliance with the loans-to-one-borrower limitations. </w:t>
      </w:r>
    </w:p>
    <w:p>
      <w:pPr>
        <w:pStyle w:val="TextBody"/>
        <w:spacing w:lineRule="auto" w:line="288" w:before="240" w:after="283"/>
        <w:jc w:val="both"/>
        <w:rPr/>
      </w:pPr>
      <w:r>
        <w:rPr>
          <w:rFonts w:ascii="Times New Roman;sans-serif" w:hAnsi="Times New Roman;sans-serif"/>
          <w:b w:val="false"/>
          <w:i/>
          <w:color w:val="000000"/>
          <w:sz w:val="20"/>
        </w:rPr>
        <w:t>Depositor Preference</w:t>
      </w:r>
      <w:r>
        <w:rPr>
          <w:color w:val="000000"/>
        </w:rPr>
        <w:t xml:space="preserve"> – </w:t>
      </w:r>
      <w:r>
        <w:rPr>
          <w:rFonts w:ascii="Times New Roman;sans-serif" w:hAnsi="Times New Roman;sans-serif"/>
          <w:b w:val="false"/>
          <w:color w:val="000000"/>
          <w:sz w:val="20"/>
        </w:rPr>
        <w:t xml:space="preserve">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 </w:t>
      </w:r>
    </w:p>
    <w:p>
      <w:pPr>
        <w:pStyle w:val="TextBody"/>
        <w:spacing w:lineRule="auto" w:line="288" w:before="240" w:after="283"/>
        <w:jc w:val="both"/>
        <w:rPr/>
      </w:pPr>
      <w:r>
        <w:rPr>
          <w:rFonts w:ascii="Times New Roman;sans-serif" w:hAnsi="Times New Roman;sans-serif"/>
          <w:b w:val="false"/>
          <w:i/>
          <w:color w:val="000000"/>
          <w:sz w:val="20"/>
        </w:rPr>
        <w:t>Community Reinvestment Act</w:t>
      </w:r>
      <w:r>
        <w:rPr>
          <w:color w:val="000000"/>
        </w:rPr>
        <w:t xml:space="preserve"> – </w:t>
      </w:r>
      <w:r>
        <w:rPr>
          <w:rFonts w:ascii="Times New Roman;sans-serif" w:hAnsi="Times New Roman;sans-serif"/>
          <w:b w:val="false"/>
          <w:color w:val="000000"/>
          <w:sz w:val="20"/>
        </w:rPr>
        <w:t xml:space="preserve">The Community Reinvestment Act of 1977 (“CRA”) requires depository institutions to assist in meeting the credit needs of 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FDIC joined the Office of the Comptroller of the Currency in proposing rules that would significantly change existing CRA regulations. The proposed rules are intended to increase bank activity in low and moderate income communities where there is significant need for credit, more responsible lending, greater access to banking services, and improvements to critical infrastructure. The proposals focus on four improvement areas: (i) clarifying what activities qualify for CRA credit; (ii) updating assessment areas where activities count for CRA credit; (iii) providing a more objective method for measuring CRA performance; and (iv) improving the timeliness and transparency of record keeping and reporting. The Federal Reserve did not join in the proposed rulemaking but is seeking public comment on an approach to modernize the CRA and evaluate how banks address inequities in credit access. The agencies are working together to put forward a joint rule. The Company will continue to monitor CRA regulatory changes and evaluate any resulting impact on the Company’s financial condition and results of operations. </w:t>
      </w:r>
    </w:p>
    <w:p>
      <w:pPr>
        <w:pStyle w:val="TextBody"/>
        <w:spacing w:lineRule="auto" w:line="288" w:before="240" w:after="283"/>
        <w:jc w:val="both"/>
        <w:rPr/>
      </w:pPr>
      <w:r>
        <w:rPr>
          <w:rFonts w:ascii="Times New Roman;sans-serif" w:hAnsi="Times New Roman;sans-serif"/>
          <w:b w:val="false"/>
          <w:i/>
          <w:color w:val="000000"/>
          <w:sz w:val="20"/>
        </w:rPr>
        <w:t>Financial Privacy</w:t>
      </w:r>
      <w:r>
        <w:rPr>
          <w:color w:val="000000"/>
        </w:rPr>
        <w:t xml:space="preserve"> – </w:t>
      </w:r>
      <w:r>
        <w:rPr>
          <w:rFonts w:ascii="Times New Roman;sans-serif" w:hAnsi="Times New Roman;sans-serif"/>
          <w:b w:val="false"/>
          <w:color w:val="000000"/>
          <w:sz w:val="20"/>
        </w:rPr>
        <w:t xml:space="preserve">Banks and other financial institutions are subject to regulations that limit their ability to disclose non-public information about consumers to nonaffiliated third parties. These limitations require disclosure of privacy policies to consumers and affect how consumer information is transmitted through diversified financial companies and conveyed to outside vendors.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 </w:t>
      </w:r>
    </w:p>
    <w:p>
      <w:pPr>
        <w:pStyle w:val="TextBody"/>
        <w:spacing w:lineRule="auto" w:line="288" w:before="240" w:after="283"/>
        <w:jc w:val="both"/>
        <w:rPr/>
      </w:pPr>
      <w:r>
        <w:rPr>
          <w:rFonts w:ascii="Times New Roman;sans-serif" w:hAnsi="Times New Roman;sans-serif"/>
          <w:b w:val="false"/>
          <w:i/>
          <w:color w:val="000000"/>
          <w:sz w:val="20"/>
        </w:rPr>
        <w:t>Transactions with Affiliates</w:t>
      </w:r>
      <w:r>
        <w:rPr>
          <w:color w:val="000000"/>
        </w:rPr>
        <w:t xml:space="preserve"> – </w:t>
      </w:r>
      <w:r>
        <w:rPr>
          <w:rFonts w:ascii="Times New Roman;sans-serif" w:hAnsi="Times New Roman;sans-serif"/>
          <w:b w:val="false"/>
          <w:color w:val="000000"/>
          <w:sz w:val="20"/>
        </w:rPr>
        <w:t xml:space="preserve">Transactions between the Bank and its affiliates are subject to regulations that limit the types and amounts of covered 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w:t>
      </w:r>
    </w:p>
    <w:p>
      <w:pPr>
        <w:pStyle w:val="TextBody"/>
        <w:spacing w:lineRule="auto" w:line="288" w:before="240" w:after="283"/>
        <w:jc w:val="both"/>
        <w:rPr/>
      </w:pPr>
      <w:r>
        <w:rPr>
          <w:rFonts w:ascii="Times New Roman;sans-serif" w:hAnsi="Times New Roman;sans-serif"/>
          <w:b w:val="false"/>
          <w:i/>
          <w:color w:val="000000"/>
          <w:sz w:val="20"/>
        </w:rPr>
        <w:t>Cybersecurity</w:t>
      </w:r>
      <w:r>
        <w:rPr>
          <w:color w:val="000000"/>
        </w:rPr>
        <w:t xml:space="preserve"> – </w:t>
      </w:r>
      <w:r>
        <w:rPr>
          <w:rFonts w:ascii="Times New Roman;sans-serif" w:hAnsi="Times New Roman;sans-serif"/>
          <w:b w:val="false"/>
          <w:color w:val="000000"/>
          <w:sz w:val="20"/>
        </w:rPr>
        <w:t xml:space="preserve">In March 2015, federal regulators issued two related statements regarding cybersecurity. One statement indicates that financial institutions should design multiple layers of security controls to establish lines of defense and to ensure that their risk management processes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expected to develop appropriate processes to enable recovery of data and business operations and address rebuilding network capabilities and restoring data if the institution or its critical service providers fall victim to this type of cyber-attack. If the Company fails to observe the regulatory guidance, it could be subject to various regulatory sanctions, including financial penalties.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federal banking agencies adopted a final rule requiring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 Banking organizations are also required to notify each affected customer as soon as possible in the event of an incident that results in actual or potential harm to the integrity or availability of information and systems or that violates or threatens to violate the organization’s security for four or more hours.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relies on electronic communications and information systems to conduct operations and store sensitive data. The Company employs an in-depth, layered, defensive approach that leverages people, processes and technology to manage and maintain cybersecurity controls. The Company also employs a variety of preventative and detective tools to identify, protect, detect, respond, and recover against suspicious activity, as well as to report on any suspected advanced persistent threats. Notwithstanding the strength of the Company’s defensive measures, the threat from cyber attacks is severe, attacks are sophisticated and increasing in volume, and attackers respond rapidly to changes in defensive measures. While the Company has not experienced a significant compromise to date, significant data loss or any material financial losses related to cybersecurity attacks, the Company’s systems and those of its customers and third-party service providers are under constant threat and it is possible that the Company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val="false"/>
          <w:i/>
          <w:color w:val="000000"/>
          <w:sz w:val="20"/>
        </w:rPr>
        <w:t>Other Regulations</w:t>
      </w:r>
      <w:r>
        <w:rPr>
          <w:color w:val="000000"/>
        </w:rPr>
        <w:t xml:space="preserve"> – </w:t>
      </w:r>
      <w:r>
        <w:rPr>
          <w:rFonts w:ascii="Times New Roman;sans-serif" w:hAnsi="Times New Roman;sans-serif"/>
          <w:b w:val="false"/>
          <w:color w:val="000000"/>
          <w:sz w:val="20"/>
        </w:rPr>
        <w:t xml:space="preserve">The operations of the Company and the Bank are also subject to: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Truth-In-Lending Act, governing disclosures of credit terms to consumer borrowers;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Fair Credit Reporting Act, governing the provision of consumer information to credit reporting agencies and the use of consumer information;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Fair Debt Collection Act, governing the manner in which consumer debts may be collected by collection agencies;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Electronic Funds Transfer Act, governing automatic deposits to and withdrawals from deposit accounts and customers’ rights and liabilities arising from the use of automated teller machines and other electronic banking services.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Equal Credit Opportunity Act, prohibiting discrimination on the basis of race, creed or other prohibited factors in extending credit;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Check Clearing for the 21st Century Act (also known as “Check 21”), which gives “substitute checks,” such as digital check images and copies made from that image, the same legal standing as the original paper check;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USA PATRIOT Act, which requires banks and savings institutions to establish broadened anti-money laundering compliance programs and due diligence policies and controls to ensure the detection and reporting of money laundering;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Bank Secrecy Act, which requires U.S. financial institutions to collaborate with the U.S. government in cases of suspected money laundering and fraud.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Website Availability of SEC Reports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reference to the Company’s website address does not constitute incorporation by reference of the information contained on the website and should not be considered part of this report.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Statistical Disclosure by Bank Holding Companies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statistical disclosure by bank holding companies, refer to Item 7, “Management’s Discussion and Analysis of Financial Condition and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 xml:space="preserve">ITEM 1A. </w:t>
      </w:r>
      <w:r>
        <w:rPr>
          <w:rFonts w:ascii="Times New Roman;sans-serif" w:hAnsi="Times New Roman;sans-serif"/>
          <w:b/>
          <w:color w:val="000000"/>
          <w:sz w:val="20"/>
          <w:u w:val="single"/>
        </w:rPr>
        <w:t>RISK FACTORS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Economic and Market Conditions Risk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COVID-19 pandemic creates significant risks and uncertainties for the Company’s business and results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(“WHO”) declared COVID-19 as a global pandemic. The COVID-19 pandemic has negatively impacted the global economy, disrupted global supply chains and manufacturing, lowered interest rates, and created significant volatility and disruption in financial markets. In addition, the pandemic has resulted in temporary closures of many businesses and the institution of social distancing and sheltering in place requirements in many states and communities, including those in major markets in the Bank is located or does business. In late fiscal 2020, vaccines for combating COVID-19 were approved by health agencies and have been administered throughout the country. While vaccination efforts are ongoing and a significant amount of previous business and other restrictions have been lifted, the ongoing impact of COVID-19, including any increases in infection rates, new variants, supply chain disruptions, labor force shortages, and renewed governmental actions and business and activity restrictions to combat its spread, cannot be estimated. Given these and other uncertainties discussed throughout this report, the Company remains subject to heightened risk, and the aggregate impact that COVID-19 could have on the Company's financial condition and operating results is presently unknown.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demand for the Company’s products and services has been, and could continue to be, significantly impacted. Demand for payment and information processing services by manufacturing, distribution, and retail enterprises, and loans and other products and services that the Company and the Bank offer and on which success the Company relies to drive growth, is highly dependent upon the business environment in the primary markets in which the Company operates and in the United States as a whole. Business closures could cause decreased volumes in the Company’s payment and information processing services due to the decline in customers’ business activity.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pandemic could influence the recognition of credit losses in the Company’s loan and lease portfolios and increase its allowance for credit losses, as both businesses and consumers are negatively impacted by the economic downturn.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an effort to boost consumer spending due to the pandemic, the Federal Reserve has taken action to lower the Federal Funds rate, which has adversely affected, and could continue to adversely affect, interest income and therefore, the Company’s results of operations and financial condition. Also, pandemic related disruptions in labor markets and global supply chains have led to the emergence of high inflation which, if persistent, could increase expense via increased compensation and other costs.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operations may also be disrupted if significant portions of its workforce are unable to work effectively, because of quarantines, illness, government actions, or other restrictions in connection with the pandemic, travel restrictions, technology limitations and/or disruptions, including remote working measures and their attendant cybersecurity risks. Furthermore, the business operations of the Company and the Bank may be disrupted due to vendors and third-party service providers being unable to work or provide services effectively, because of quarantines, illness, government actions, or other restrictions in connection with the pandemic.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to which the COVID-19 pandemic impacts the Company’s business, results of operations, and financial condition, as well as its regulatory capital and liquidity ratios, will depend on future developments, which are highly uncertain, including the scope and duration of the pandemic and any future actions taken by governmental authorities and other third parties in response to the pandemic. Moreover, the effects of the COVID-19 pandemic may heighten many of the other risks described in this Item 1A, “Risk Factors” section, including, but not limited to, risks of credit deterioration, interest rate changes, governmental actions, market volatility, security breaches and technology interruptions.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Vaccine mandates could hinder Cass' ability to attract and retain employees.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Vaccine mandates and other governmental requirements related to the ongoing COVID-19 pandemic could have an adverse impact on the Company's business financial condition and results of operations as they could negatively impact the Company's ability to attract and retain employees, increase expenses, and pose operational issues with respect to testing requirements.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political, economic or industry conditions may be less favorable than expected.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and other factors outside of Cass’ control may adversely affect the Company. Economic downturns could result in the delinquency of outstanding loans, which could have a material adverse impact on Cass’ earnings.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Unfavorable developments concerning customer credit quality could affect Cass’ financial results.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 certain circumstances, Cass remits payment of invoices prior to receiving funds from its customers. As such, Cass could experience losses if such funds are not received from customers after payment is remitted.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has lending concentrations, including, but not limited to, faith-based ministries located in selected cities, franchise restaurants, and privately-held businesses located in or near St. Louis, Missouri, that could suffer a significant decline which could adversely affect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Fluctuations in interest rates could affect Cass’ net interest income and balance sheet.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As discussed in greater detail in Item 7A, “Quantitative and Qualitative Disclosures about Market Risk,” a low level of interest rates would have a negative impact on the Company’s net interest income.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Company may be adversely impacted by the replacement of LIBOR as a reference rate.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LIBOR and certain other interest rate benchmarks are the subject of recent national, international and other regulatory guidance and proposals for reform. These reforms may cause such benchmarks to perform differently than in the past or have other consequences which cannot be predicted. LIBOR in its current form was anticipated to no longer be available after 2021.</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2020 the administrator of LIBOR announced it will consult on its intention to cease publication of the one-week and two-month settings immediately following the LIBOR publication on December 31, 2021, and the remaining U.S. dollar LIBOR settings immediately following the LIBOR publication on June 30, 2023. While there is no consensus on what rate or rates may become accepted alternatives to LIBOR, a group of market participants convened by the FRB, the Alternative Reference Rates Committee, has selected the SOFR as its recommended alternative to U.S. dollar LIBOR.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banking agencies issued a statement in November 2020 encouraging banks to transition away from U.S. dollar LIBOR as soon as practicable and to stop entering into new contracts that use U.S. dollar LIBOR by December 31, 2021. SOFR or other alternative reference rates may perform differently than LIBOR in response to changing market conditions. For example, SOFR could experience greater decreases during times of economic stress, which could require the Company to lend at lower rates at times when the Company's borrowing costs are increasing.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does not currently originate loans tied to LIBOR, certain of the Company's loans and other financial instruments originated and/or purchased in prior periods include attributes that are either directly or indirectly dependent on LIBOR. The transition from LIBOR could create additional costs and risk. Since proposed alternative rates are calculated differently, payments under contracts referencing new rates will differ from those referencing LIBOR. The transition will change Cass' market risk profiles, requiring changes to risk and pricing models, valuation tools, product design and hedging strategies. Failure to adequately manage this transition process could adversely impact the Company's reputation.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Operations of the Company’s customer base are impacted by macro-economic factors such as a strong dollar and/or volatility in commodity prices. A reduction in its customers’ operations could have a material adverse effect on Cass’ results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Business Operations and Strategic Risk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Operational difficulties or cybersecurity problems could damage Cass’ reputation and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Cloud technologies are also critical to the operation of the Company's systems, and reliance on cloud technologies is growing. Service disruptions in cloud technologies may lead to delays in accessing, or the loss of, data that is important to the Company's businesses and may hinder customers access to products and services.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third-party vendors, including as a result of cyber-attacks, could 1) disrupt the proper functioning of Cass’ networks and systems and therefore operations and/or those of certain customers; 2) result in the unauthorized access to, and destruction, loss, theft, misappropriation or release of confidential, sensitive or otherwise valuable information of the Company or its customers; 3) result in a violation of applicable privacy, data breach and other laws, subjecting the Company to additional regulatory scrutiny and expose Cass to civil litigation, governmental fines and possible financial liability; 4) require significant management attention and resources to remedy the damages that result; or 5) harm Cass’ reputation or cause a decrease in the number of customers that choose to do business with the Company. The occurrence of any of the foregoing could have a material adverse effect on Cass’ business, financial condition and results of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Cass must respond to rapid technological changes and these changes may be more difficult or expensive than anticipated.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Methods of reducing risk exposures might not be effective.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borrowing, repayment, investment, deposit, and payable processing practices may be different than anticipated.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Company’s allowance for credit losses (“ACL”) is subject to continuing evaluation and may be insufficient.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ACL, which is a reserve established through a provision for credit losses charged to expense. The ACL is a valuation account that is deducted from the amortized cost basis to present the net amount expected to be 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from internal and external factors, relating to past events, current conditions and reasonable and supportable forecasts based on economic sources, such as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Domestic Product (“GDP”). Historical credit loss experience, of both the Company and similar peer banks, provides the basis for the estimation of expected credit losses. Adjustments to historical loss information are made for lending management experience,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7, “Management’s Discussion and Analysis of Financial Condition and Results of Operations—Provision and Allowance for Credit Losses and Unfunded Commitments” and Item 8, “Financial Statements and Supplementary Data—Note 1” for additional information.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Competitive product and pricing pressure within Cass’ markets may change.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Management’s ability to maintain and expand customer relationships may differ from expectations.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Company and the Bank are subject to liquidity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Management’s ability to retain key officers and employees may change.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Regulatory, Legal and Accounting Risk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and the Bank are subject to extensive government regulation and supervision and possible enforcement or other legal actions that could detrimentally affect Cass’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1, “Business—Supervision and Regulation,” and Item 8, Note 2 to the consolidated financial statements included elsewhere in this report for additional information.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may need to raise additional capital or sell assets if it fails to meet regulatory capital requirements or meet commitments and liquidity needs. Such capital may not be available on favorable terms, or at all.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Fully phased in, the Basel III Capital rules implemented stricter capital requirements and leverage limits and methods for calculating risk-weighted assets, meaning the Company is required to hold more capital against such assets. Complying with these more stringent capital requirements could result in management modifying its business strategy and could limit the Company’s ability to make distributions, including paying dividends, or buying back shares.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raise additional capital on acceptable terms when needed could have a materially adverse effect on the Company’s business, financial condition and results of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and regulatory proceedings and related matters with respect to the financial services industry, including those directly involving the Company and its subsidiaries, could adversely affect Cass or the financial services industry in general.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Cass has identified one accounting policy as being “critical” to the presentation of its financial condition and results of operations because it requires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Cass is subject to examinations and challenges by tax authorities, which, if not resolved in the Company’s favor, could adversely affect the Company’s financial condition and results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Cass’ stock price can become volatile and fluctuate widely in response to a variety of factors.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Certain events beyond the Company’s control, such as severe weather, natural disasters, terrorist activities or other hostilities, may adversely affect the general economy, financial and capital markets, specific industries, and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1B. </w:t>
      </w:r>
      <w:r>
        <w:rPr>
          <w:rFonts w:ascii="Times New Roman;sans-serif" w:hAnsi="Times New Roman;sans-serif"/>
          <w:b/>
          <w:color w:val="000000"/>
          <w:sz w:val="20"/>
          <w:u w:val="single"/>
        </w:rPr>
        <w:t>UNRESOLVED STAFF COMMENTS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2. </w:t>
      </w:r>
      <w:r>
        <w:rPr>
          <w:rFonts w:ascii="Times New Roman;sans-serif" w:hAnsi="Times New Roman;sans-serif"/>
          <w:b/>
          <w:color w:val="000000"/>
          <w:sz w:val="20"/>
          <w:u w:val="single"/>
        </w:rPr>
        <w:t>PROPERTIES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2012, the Company entered into a 10-year lease for office space in St. Louis County, Missouri, to house the headquarters of the Company and the Bank. The Company’s headquarters occupy 13,991 square feet in an office center at 12444 Powerscourt Drive along with 3,563 square feet in the same center at 12412 Powerscourt Drive. The Bank’s headquarters occupy 10,564 square feet in the same center at 12412 Powerscourt Drive.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approximately 61,500 square feet of office space at 13001 Hollenberg Drive in Bridgeton, Missouri where the Company’s transportation processing activities are performed.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 production facility of approximately 45,500 square feet located at 2675 Corporate Exchange Drive, Columbus, Ohio. Additional facilities are located in Greenville, South Carolina, Wellington, Kansas, and Jacksonville, Florida. The Company has offices in Breda, Netherlands, Basingstoke, United Kingdom, and Singapore to service its multinational customers.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Bank owns a banking facility near downtown St. Louis, Missouri, has an operating branch in the Bridgeton, Missouri location, and has additional leased facilities in Fenton, Missouri and Colorado Springs, Colorado.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these facilities are suitable and adequate for the Company’s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3. </w:t>
      </w:r>
      <w:r>
        <w:rPr>
          <w:rFonts w:ascii="Times New Roman;sans-serif" w:hAnsi="Times New Roman;sans-serif"/>
          <w:b/>
          <w:color w:val="000000"/>
          <w:sz w:val="20"/>
          <w:u w:val="single"/>
        </w:rPr>
        <w:t>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 xml:space="preserve">ITEM 4. </w:t>
      </w:r>
      <w:r>
        <w:rPr>
          <w:rFonts w:ascii="Times New Roman;sans-serif" w:hAnsi="Times New Roman;sans-serif"/>
          <w:b/>
          <w:color w:val="000000"/>
          <w:sz w:val="20"/>
          <w:u w:val="single"/>
        </w:rPr>
        <w:t>MINE SAFETY DISCLOSURES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810"/>
        <w:jc w:val="both"/>
        <w:rPr/>
      </w:pPr>
      <w:r>
        <w:rPr>
          <w:rFonts w:ascii="Times New Roman;sans-serif" w:hAnsi="Times New Roman;sans-serif"/>
          <w:b/>
          <w:color w:val="000000"/>
          <w:sz w:val="20"/>
        </w:rPr>
        <w:t xml:space="preserve">ITEM 5. </w:t>
      </w:r>
      <w:r>
        <w:rPr>
          <w:rFonts w:ascii="Times New Roman;sans-serif" w:hAnsi="Times New Roman;sans-serif"/>
          <w:b/>
          <w:color w:val="000000"/>
          <w:sz w:val="20"/>
          <w:u w:val="single"/>
        </w:rPr>
        <w:t>MARKET FOR REGISTRANT’S COMMON EQUITY, RELATED STOCKHOLDER MATTERS AND ISSUER PURCHASES OF EQUITY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quoted on The Nasdaq Global Select Market® under the symbol “CASS.” As of February 15, 2022, there were approximately 3,904 holders of record of the Company’s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treasury stock buyback program approved by the Board of Directors in October 2021 pursuant to which the Board of Directors has authorized the repurchase of up to 750,000 shares of the Company’s common stock and has no expiration date. The Company repurchased a total of 713,857 shares at an aggregate cost of $30,997,000 during the year ended December 31, 2021 and 162,901 shares at an aggregate cost of $6,825,000 during the year ended December 31, 2020. A portion of the repurchased shares may be used for the Company’s employee benefit plans, and the balance will be available for other general corporate purposes. The pace of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2021, the Company repurchased a total of 278,919 shares of its common stock pursuant to its treasury stock buyback program, as follows:</w:t>
      </w:r>
    </w:p>
    <w:tbl>
      <w:tblPr>
        <w:tblW w:w="10205" w:type="dxa"/>
        <w:jc w:val="center"/>
        <w:tblInd w:w="0" w:type="dxa"/>
        <w:tblCellMar>
          <w:top w:w="28" w:type="dxa"/>
          <w:left w:w="28" w:type="dxa"/>
          <w:bottom w:w="28" w:type="dxa"/>
          <w:right w:w="28" w:type="dxa"/>
        </w:tblCellMar>
      </w:tblPr>
      <w:tblGrid>
        <w:gridCol w:w="537"/>
        <w:gridCol w:w="361"/>
        <w:gridCol w:w="365"/>
        <w:gridCol w:w="682"/>
        <w:gridCol w:w="576"/>
        <w:gridCol w:w="577"/>
        <w:gridCol w:w="346"/>
        <w:gridCol w:w="1013"/>
        <w:gridCol w:w="178"/>
        <w:gridCol w:w="1183"/>
        <w:gridCol w:w="1102"/>
        <w:gridCol w:w="1105"/>
        <w:gridCol w:w="735"/>
        <w:gridCol w:w="593"/>
        <w:gridCol w:w="852"/>
      </w:tblGrid>
      <w:tr>
        <w:trPr/>
        <w:tc>
          <w:tcPr>
            <w:tcW w:w="53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1835"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153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390" w:type="dxa"/>
            <w:gridSpan w:val="3"/>
            <w:tcBorders/>
            <w:shd w:fill="FFFFFF"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2180"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Maximum Number of Shares that May Yet </w:t>
              <w:br/>
              <w:t>Be Purchased Under the Plans or Programs</w:t>
            </w:r>
          </w:p>
        </w:tc>
      </w:tr>
      <w:tr>
        <w:trPr/>
        <w:tc>
          <w:tcPr>
            <w:tcW w:w="126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October 1, 2021 – </w:t>
              <w:br/>
              <w:t xml:space="preserve">October 31, 2021 </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28,443 </w:t>
            </w:r>
          </w:p>
        </w:tc>
        <w:tc>
          <w:tcPr>
            <w:tcW w:w="57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28,443 </w:t>
            </w:r>
          </w:p>
        </w:tc>
        <w:tc>
          <w:tcPr>
            <w:tcW w:w="110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721,557 </w:t>
            </w:r>
          </w:p>
        </w:tc>
        <w:tc>
          <w:tcPr>
            <w:tcW w:w="85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1, 2021 – </w:t>
              <w:br/>
              <w:t xml:space="preserve">November 30, 2021 </w:t>
            </w:r>
          </w:p>
        </w:tc>
        <w:tc>
          <w:tcPr>
            <w:tcW w:w="12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135,022 </w:t>
            </w:r>
          </w:p>
        </w:tc>
        <w:tc>
          <w:tcPr>
            <w:tcW w:w="5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135,022 </w:t>
            </w:r>
          </w:p>
        </w:tc>
        <w:tc>
          <w:tcPr>
            <w:tcW w:w="11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586,535 </w:t>
            </w:r>
          </w:p>
        </w:tc>
        <w:tc>
          <w:tcPr>
            <w:tcW w:w="8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1, 2021 – </w:t>
              <w:br/>
              <w:t xml:space="preserve">December 31, 2021 </w:t>
            </w:r>
          </w:p>
        </w:tc>
        <w:tc>
          <w:tcPr>
            <w:tcW w:w="125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115,454 </w:t>
            </w:r>
          </w:p>
        </w:tc>
        <w:tc>
          <w:tcPr>
            <w:tcW w:w="57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115,454 </w:t>
            </w:r>
          </w:p>
        </w:tc>
        <w:tc>
          <w:tcPr>
            <w:tcW w:w="110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471,081 </w:t>
            </w:r>
          </w:p>
        </w:tc>
        <w:tc>
          <w:tcPr>
            <w:tcW w:w="85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2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278,919 </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278,919 </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471,081 </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990"/>
        <w:rPr/>
      </w:pPr>
      <w:r>
        <w:rPr>
          <w:rFonts w:ascii="Times New Roman;sans-serif" w:hAnsi="Times New Roman;sans-serif"/>
          <w:b/>
          <w:color w:val="000000"/>
          <w:sz w:val="20"/>
        </w:rPr>
        <w:t>(1)</w:t>
      </w:r>
      <w:r>
        <w:rPr>
          <w:rFonts w:ascii="Times New Roman;sans-serif" w:hAnsi="Times New Roman;sans-serif"/>
          <w:b w:val="false"/>
          <w:color w:val="000000"/>
          <w:sz w:val="20"/>
        </w:rPr>
        <w:t>All repurchases made during the quarter ended December 31, 2021 were made pursuant to the treasury stock buyback program, authorized by the Board of Directors on October 19, 2021 and announced by the Company on October 21, 2021. The program provides that the Company may repurchase up to an aggregate of 750,000 shares of common stock and has no expiration date.</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Performance Quoted on The Nasdaq Stock Market for the Last Five Fiscal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compares the cumulative total returns over the last five fiscal years of a hypothetical investment of $100 in shares of common stock of the Company with a hypothetical investment of $100 in The Nasdaq Stock Market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the index of Nasdaq computer and data processing stocks, and the index of Nasdaq bank stocks. The graph assumes $100 was invested on December 31, 2016, with dividends reinvested. Returns are based on period end prices.</w:t>
      </w:r>
    </w:p>
    <w:p>
      <w:pPr>
        <w:pStyle w:val="TextBody"/>
        <w:spacing w:before="240" w:after="283"/>
        <w:jc w:val="both"/>
        <w:rPr/>
      </w:pPr>
      <w:r>
        <w:rPr/>
        <w:drawing>
          <wp:inline distT="0" distB="63500" distL="0" distR="0">
            <wp:extent cx="6286500" cy="3333750"/>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6286500" cy="33337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6. </w:t>
      </w:r>
      <w:r>
        <w:rPr>
          <w:rFonts w:ascii="Times New Roman;sans-serif" w:hAnsi="Times New Roman;sans-serif"/>
          <w:b/>
          <w:color w:val="000000"/>
          <w:sz w:val="20"/>
          <w:u w:val="single"/>
        </w:rPr>
        <w:t>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810"/>
        <w:jc w:val="both"/>
        <w:rPr/>
      </w:pPr>
      <w:r>
        <w:rPr>
          <w:rFonts w:ascii="Times New Roman;sans-serif" w:hAnsi="Times New Roman;sans-serif"/>
          <w:b/>
          <w:color w:val="000000"/>
          <w:sz w:val="20"/>
        </w:rPr>
        <w:t>ITEM 7. </w:t>
      </w:r>
      <w:r>
        <w:rPr>
          <w:rFonts w:ascii="Times New Roman;sans-serif" w:hAnsi="Times New Roman;sans-serif"/>
          <w:b/>
          <w:color w:val="000000"/>
          <w:sz w:val="20"/>
          <w:u w:val="single"/>
        </w:rPr>
        <w:t>MANAGEMENT'S DISCUSSION AND ANALYSIS OF FINANCIAL CONDITION AND RESULTS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the consolidated financial statements and the accompanying Notes to Financial Statements (Part II, Item 8 of this Form 10-K). This section generally discusses the results of operations for 2021 compared to 2020. For discussion related to the results of operations and changes in financial condition for 2020 compared to 2019 refer to Part II, Item 7, Management's Discussion and Analysis of Financial Condition and Results of Operations in the Company's 2020 Annual Report on Form 10-K filed with the SEC on February 26,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for the discussion of financial condition and results of operations that follows to provide information that will assist the reader in understanding the Consolidated Financial Statements, the changes in certain key items in those financial statements from year to year, and the primary factors that accounted for those changes, as well as how certain accounting principles, policies, and estimates affect the Consolidated Financial Statements. This discussion should be read in conjunction the Consolidated Financial Statements and the related notes that appear in Part II, Item 8 of this document.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2021, total fee revenue and other income increased $9,251,000, or 9%, net interest income after provision for credit losses decreased $59,000, total operating expenses increased $5,711,000, or 5%, and net income increased $3,428,000, or 14%. This performance in 2021 rebounded from 2020, which was more severely impacted by the COVID-19 global pandemic. For payment processing services, dollar volumes experienced a significant increase during 2021 which contributed to the increase in total fee revenue and other income. The Federal Reserve’s actions to lower the Federal Funds rate during the first quarter of 2020 adversely impacted net interest income. However, an increase in interest-earning assets, specifically in loans and investment securities, were able to mostly offset the impact of a lower interest rate environment and resulting lower net interest margin. Total operating expenses increased as a higher number of transactions processed had a corresponding rise in personnel and other expenses. The asset quality of the Company’s loans and investments as of December 31, 2021 remained strong.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 summary of significant accounting policies and a summary of recent accounting pronouncements applicable to the Company's Consolidated Financial Statements are included in Item 8, "Financial Statements and Supplementary Data—Note 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policy that requires significant management estimates and is deemed critical to the Company’s results of operations or financial position has been discussed with the Audit Committee of the Board of Directors and is described below.</w:t>
      </w:r>
    </w:p>
    <w:p>
      <w:pPr>
        <w:pStyle w:val="TextBody"/>
        <w:spacing w:lineRule="auto" w:line="268" w:before="240" w:after="283"/>
        <w:jc w:val="both"/>
        <w:rPr/>
      </w:pPr>
      <w:r>
        <w:rPr>
          <w:rFonts w:ascii="Times New Roman;sans-serif" w:hAnsi="Times New Roman;sans-serif"/>
          <w:b w:val="false"/>
          <w:i/>
          <w:color w:val="000000"/>
          <w:sz w:val="20"/>
        </w:rPr>
        <w:t>Allowance for Credit Losses.</w:t>
      </w:r>
      <w:r>
        <w:rPr>
          <w:color w:val="000000"/>
        </w:rPr>
        <w:t xml:space="preserve"> </w:t>
      </w:r>
      <w:r>
        <w:rPr>
          <w:rFonts w:ascii="Times New Roman;sans-serif" w:hAnsi="Times New Roman;sans-serif"/>
          <w:b w:val="false"/>
          <w:color w:val="000000"/>
          <w:sz w:val="20"/>
        </w:rPr>
        <w:t xml:space="preserve">The Company performs periodic and systematic detailed reviews of its loan portfolio to determine management’s estimate of the lifetime expected credit losses. The process combines many factors: economic factors, historical credit loss experience, of both the Company and similar peer banks, loan portfolio growth and concentrations, asset quality, lending management experience and risk tolerance, and other qualitative and quantitative factors which could affect future credit loss. Given the Company's recent historical loss experience, the impact of the qualitative risk factors related to the collective ACL is a substantial percentage of the overall ACL. Because current economic conditions and forecasts can change and future events are inherently difficult to predict, the anticipated amount of estimated credit losses, and therefore the appropriateness of the ACL, could change significantly. It is difficult to estimate how potential changes in any one economic factor or input might affect the overall allowance because a wide variety of factors and inputs are considered in estimating the ACL and changes in those factors and inputs considered may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occur at the same rate and may not be consistent across all loan types. Additionally, changes in factors and inputs may be directionally inconsistent, such that improvement in one factor may offset deterioration in others.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The Company believes the level of ACL is appropriate. These policies affect both segments of the Company. The impact and associated risks related to these policies on the Company’s business operations are discussed in the Note 1 Summary of Significant Accounting Policies and Note 4 Loans, as well as the “Provision and Allowance for Credit Losses and Allowance for Unfunded Commitments” section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COVID-19 on the Company’s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the effects of COVID-19 and related actions to attempt to control its spread significantly impacted the global economy and adversely affected the Company’s operating results in both the Information Services and Banking Services segments. Substantial progress has been made to combat the spread of COVID-19, and financial results for the year-ended December 31, 2021 were driven, in part, by the continual improvement in economic conditions as compared to the same period in 2020, when the negative economic impact of the COVID-19 pandemic was most pronounced on Cass and its customers. Though macroeconomic conditions continue to trend positive as of December 31, 2021, the Company could experience future negative effects on its business, financial condition, results of operations, and cash flows if there continue to be significant outbreaks of COVID-19.</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Information Services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spread of COVID-19 to the U.S. in the first quarter of 2020, many state and local governments recommended or mandated limitations on crowd size, closures of businesses and shelter-in-place orders in order to slow the transmission. The extent and nature of government actions varied during fiscal years 2020 and 2021 based upon the then-current extent and severity of the COVID-19 pandemic within the respective localities. Severe business disruptions, resulting constrictions in the manufacturing sector for most of 2020 and into the first quarter of 2021, labor force shortages, decreased oil demand and prices and general economic uncertainty, significantly and adversely impacted the Company’s customers’ business operations and had a corresponding negative affect on the Company’s revenue generation in each sector of the Company’s Information Services segment. The Federal Reserve also took action to lower the Federal Funds rate in connection with COVID-19 relief, adversely affecting the Company’s net interest income and operating results tied to Banking Services.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as vaccines for combatting Covid-19 became widely available in the United States in the first half of 2021 and the economy began to improve, consumer demand for products and services rebounded. Companies critical to the global supply chain, such as those in warehousing and transporting services, continued to experience the negative effects of the pandemic-related disruptions. As a result, carrier supply scarcity led to higher transportation costs and an increase in the Company’s transportation payment and processing fee revenues in fiscal 2021.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Banking Services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Like all banks and bank holding companies, the Company’s Banking Services segment has been especially impacted by instability in the global capital markets due to the COVID-19 pandemic. The Federal Reserve also took action to lower the Federal Funds rate to near zero levels in connection with COVID-19 relief, adversely affecting the Company’s net interest income and operating results tied to Banking Services.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and into the first half of 2021, Bank regulatory agencies and various governmental authorities urged financial institutions to work prudently with borrowers who were unable to meet their contractual payment obligations because of the effects of COVID-19. Accordingly, and in coordination with its primary regulators, the Company deferred borrower principal payments on loans, on an as needed basis, for periods of up to six months. There were no borrowers remaining on deferred terms at December 31, 2021.</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COVID-19, the Coronavirus Aid, Relief, and Economic Security ("CARES") Act was adopted on March 27, 2020. The CARES Act provided for an estimated $2.2 trillion to fight the COVID-19 pandemic and stimulate the economy by supporting individuals and businesses through loans, grants, tax changes, and other types of relief. Among other things, the CARES Act established the Paycheck Protection Program (“PPP”), which allowed entities to apply for low-interest private loans to fund payroll and other costs which, subject to certain conditions and qualifications, are partially or fully forgivable. In March 2021, the American Rescue Plan Act of 2021 was enacted, which among other things, provided for additional funding and expansion of the PPP. In support of the CARES Act, the Bank processed nearly 350 applications for PPP loans of approximately $170,000,000 during the year ended December 31, 2020 and an additional 110 applications for approximately $40,000,000 during the year-ended December 31, 2021 to provide much-needed cash to small business and self-employed taxpayers during the COVID-19 crisis. The loans were primarily made to existing bank customers and are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100% guaranteed by the SBA. As of December 31, 2021, substantially all of these PPP loans were forgiven by the SBA with $6,299,000 remaining outstanding.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Congress enacted several pieces of legislation aimed at providing economic aid and stimulus to individuals and businesses in response to the Covid-19 pandemic’s severe economic interruptions. Among others, these significant actions included direct federal stimulus payments, a moratorium on evictions and foreclosures, deferral of federal student loan payments, increases in tax benefits, state and local government funding, and an expansion of bankruptcy relief for small businesses and individuals.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stimulus actions of the federal government and policies implemented by the Federal Reserve have contributed to an increase in inflation during most of 2021. As a result, in December 2021, the Federal Reserve released projections related to the target range for the Federal Funds rate that imply varied increases in the rate over the next few years. There can be no assurance that any increases in the Federal Funds rate will occur, and the Company continues to monitor these developments.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vaccination efforts are ongoing and a significant amount of previous business and other restrictions have been lifted, the ongoing impact of COVID-19, including any increases in infection rates, new variants, supply chain disruptions, labor force shortages, renewed restrictions to combat its spread, and the enactment of new laws and regulations that affect banks and bank holding companies, cannot be estimated. Given these and other uncertainties discussed throughout this report, the Company remains subject to heightened risk, and the aggregate impact that COVID-19 could have on the Company’s financial condition and operating results is presently unknown.</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remains committed to creating a safe and healthy environment for employees while offering assurance that it remains a financially strong service provider possessing the resources necessary to weather this pandemic in support of its valued customers.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COVID-19 and its impact on the Company, refer to Item 8, “Financial Statements and Supplementary Data—Note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of Results</w:t>
      </w:r>
    </w:p>
    <w:tbl>
      <w:tblPr>
        <w:tblW w:w="10205" w:type="dxa"/>
        <w:jc w:val="center"/>
        <w:tblInd w:w="0" w:type="dxa"/>
        <w:tblCellMar>
          <w:top w:w="28" w:type="dxa"/>
          <w:left w:w="28" w:type="dxa"/>
          <w:bottom w:w="28" w:type="dxa"/>
          <w:right w:w="28" w:type="dxa"/>
        </w:tblCellMar>
      </w:tblPr>
      <w:tblGrid>
        <w:gridCol w:w="786"/>
        <w:gridCol w:w="677"/>
        <w:gridCol w:w="679"/>
        <w:gridCol w:w="211"/>
        <w:gridCol w:w="1081"/>
        <w:gridCol w:w="271"/>
        <w:gridCol w:w="109"/>
        <w:gridCol w:w="109"/>
        <w:gridCol w:w="109"/>
        <w:gridCol w:w="211"/>
        <w:gridCol w:w="1081"/>
        <w:gridCol w:w="271"/>
        <w:gridCol w:w="109"/>
        <w:gridCol w:w="109"/>
        <w:gridCol w:w="109"/>
        <w:gridCol w:w="211"/>
        <w:gridCol w:w="1081"/>
        <w:gridCol w:w="271"/>
        <w:gridCol w:w="109"/>
        <w:gridCol w:w="109"/>
        <w:gridCol w:w="109"/>
        <w:gridCol w:w="263"/>
        <w:gridCol w:w="255"/>
        <w:gridCol w:w="466"/>
        <w:gridCol w:w="109"/>
        <w:gridCol w:w="109"/>
        <w:gridCol w:w="109"/>
        <w:gridCol w:w="318"/>
        <w:gridCol w:w="235"/>
        <w:gridCol w:w="529"/>
      </w:tblGrid>
      <w:tr>
        <w:trPr/>
        <w:tc>
          <w:tcPr>
            <w:tcW w:w="78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142"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5343"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42" w:type="dxa"/>
            <w:gridSpan w:val="3"/>
            <w:vMerge w:val="continue"/>
            <w:tcBorders/>
            <w:shd w:fill="auto" w:val="clear"/>
            <w:tcMar>
              <w:top w:w="0" w:type="dxa"/>
              <w:left w:w="0" w:type="dxa"/>
              <w:bottom w:w="0" w:type="dxa"/>
              <w:right w:w="0" w:type="dxa"/>
            </w:tcMar>
            <w:vAlign w:val="center"/>
          </w:tcPr>
          <w:p>
            <w:pPr>
              <w:pStyle w:val="Normal"/>
              <w:rPr/>
            </w:pPr>
            <w:r>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 v.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 v. 2019</w:t>
            </w:r>
          </w:p>
        </w:tc>
      </w:tr>
      <w:tr>
        <w:trPr/>
        <w:tc>
          <w:tcPr>
            <w:tcW w:w="214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revenue and other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w:t>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120,326 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114,615 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119,769 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5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earning assets</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1,674,297 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assets</w:t>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5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equity</w:t>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Net interest margin</w:t>
            </w:r>
            <w:r>
              <w:rPr>
                <w:rFonts w:ascii="Times New Roman;sans-serif" w:hAnsi="Times New Roman;sans-serif"/>
                <w:b/>
                <w:color w:val="000000"/>
                <w:sz w:val="13"/>
              </w:rPr>
              <w:t>(1)</w:t>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5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processing volume</w:t>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invoice dollars processed and paid</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52,697,397 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39,975,033 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42,973,242 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518"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466"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553"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29"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540"/>
        <w:rPr/>
      </w:pPr>
      <w:r>
        <w:rPr>
          <w:rFonts w:ascii="Times New Roman;sans-serif" w:hAnsi="Times New Roman;sans-serif"/>
          <w:b/>
          <w:color w:val="000000"/>
          <w:sz w:val="20"/>
        </w:rPr>
        <w:t>(1)</w:t>
      </w:r>
      <w:r>
        <w:rPr>
          <w:rFonts w:ascii="Times New Roman;sans-serif" w:hAnsi="Times New Roman;sans-serif"/>
          <w:b w:val="false"/>
          <w:color w:val="000000"/>
          <w:sz w:val="20"/>
        </w:rPr>
        <w:t>Presented on a tax-equivalent basis.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results of 2021 compared to 2020 include the following significant items: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the Company’s revenue and profitability improved, primarily as a result of the increases in total processing volume and total invoice dollars processed and paid as compared to the prior year. Processing volume and invoice dollars processed increased 6% and 32%, respectively. The significant increase in dollars processed was due to excess shipping miles in the freight network due to supply chain disruptions, fuel surcharges, and scarcity of carrier supply,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factors. In addition, far fewer pandemic-related restrictions imposed on the restaurant, retail and hospitality sectors as compared to 2020 also contributed to the increase. The higher dollar volumes helped produce the 10% increase in payment and processing fees via financial fees earned on payment volumes.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dollar volumes also assisted in driving an increase in average earning assets of 19%. However, net interest income after provision for credit losses was flat year over year. The Federal Reserve’s actions to lower the Federal Funds rate in the first quarter of 2020, adversely impacted the net interest rate margin which declined to 2.31% as compared to 2.82%in the prior year. The increase in average earning assets partially offset the impact of the near-zero interest rate environment on the Company’s net interest margin. There was also a release of credit losses recorded of $130,000 in 2021 compared to a provision for credit losses of $810,000 in 2020. The positive variance in the provision for credit losses was primarily due to improved economic conditions in 2021, partially offset by the impact of loan growth on the Company's ACL calculation.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5%, as the increase in the number of transactions processed had a corresponding impact on personnel expense. In addition, the Company continued the strategic investment in various technology initiatives in an effort to improve customer experience and drive efficiencies with respect to invoice payment and processing.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return on average equity and diluted earnings per share improved as compared to the prior year driven by higher earnings and share buybacks which reduced outstanding diluted shares and shareholders'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Fee Revenue and Other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tbl>
      <w:tblPr>
        <w:tblW w:w="10205" w:type="dxa"/>
        <w:jc w:val="center"/>
        <w:tblInd w:w="0" w:type="dxa"/>
        <w:tblCellMar>
          <w:top w:w="28" w:type="dxa"/>
          <w:left w:w="28" w:type="dxa"/>
          <w:bottom w:w="28" w:type="dxa"/>
          <w:right w:w="28" w:type="dxa"/>
        </w:tblCellMar>
      </w:tblPr>
      <w:tblGrid>
        <w:gridCol w:w="849"/>
        <w:gridCol w:w="746"/>
        <w:gridCol w:w="752"/>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308"/>
        <w:gridCol w:w="308"/>
        <w:gridCol w:w="452"/>
        <w:gridCol w:w="109"/>
        <w:gridCol w:w="109"/>
        <w:gridCol w:w="109"/>
        <w:gridCol w:w="454"/>
        <w:gridCol w:w="312"/>
        <w:gridCol w:w="513"/>
      </w:tblGrid>
      <w:tr>
        <w:trPr/>
        <w:tc>
          <w:tcPr>
            <w:tcW w:w="84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2347"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857"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47" w:type="dxa"/>
            <w:gridSpan w:val="3"/>
            <w:vMerge w:val="continue"/>
            <w:tcBorders/>
            <w:shd w:fill="auto" w:val="clear"/>
            <w:tcMar>
              <w:top w:w="0" w:type="dxa"/>
              <w:left w:w="0" w:type="dxa"/>
              <w:bottom w:w="0" w:type="dxa"/>
              <w:right w:w="0" w:type="dxa"/>
            </w:tcMar>
            <w:vAlign w:val="center"/>
          </w:tcPr>
          <w:p>
            <w:pPr>
              <w:pStyle w:val="Normal"/>
              <w:rPr/>
            </w:pPr>
            <w:r>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 v.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 v. 2019</w:t>
            </w:r>
          </w:p>
        </w:tc>
      </w:tr>
      <w:tr>
        <w:trPr/>
        <w:tc>
          <w:tcPr>
            <w:tcW w:w="234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Transportation invoice transaction volume </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5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1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Transportation invoice dollar volume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36,829,841 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26,516,803 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28,090,514 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Expense management transaction volume</w:t>
            </w:r>
            <w:r>
              <w:rPr>
                <w:rFonts w:ascii="Times New Roman;sans-serif" w:hAnsi="Times New Roman;sans-serif"/>
                <w:b/>
                <w:color w:val="000000"/>
                <w:sz w:val="13"/>
              </w:rPr>
              <w:t>(1)</w:t>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5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Expense management dollar volume</w:t>
            </w:r>
            <w:r>
              <w:rPr>
                <w:rFonts w:ascii="Times New Roman;sans-serif" w:hAnsi="Times New Roman;sans-serif"/>
                <w:b/>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14,882,728 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5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and processing revenue </w:t>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5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service fees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on sales of investment securities </w:t>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45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5,557.9 </w:t>
            </w:r>
          </w:p>
        </w:tc>
        <w:tc>
          <w:tcPr>
            <w:tcW w:w="5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45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6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51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color w:val="000000"/>
          <w:sz w:val="20"/>
        </w:rPr>
        <w:t>(1)</w:t>
      </w:r>
      <w:r>
        <w:rPr>
          <w:rFonts w:ascii="Times New Roman;sans-serif" w:hAnsi="Times New Roman;sans-serif"/>
          <w:b w:val="false"/>
          <w:color w:val="000000"/>
          <w:sz w:val="20"/>
        </w:rPr>
        <w:t>Includes energy, telecom and environmental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invoice transaction volume in transportation was driven by an increase in economic activity as compared to 2020 in addition to new customer acquisition. Transaction volumes in expense management were flat year over year as new customer acquisition almost fully offset the loss of one large customer in the prior year.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39% increase in dollars processed in transportation was due to excess shipping miles in the freight network due to supply chain disruptions, fuel surcharges, and scarcity of carrier supply, among other factors. The 18% increase in dollar volumes in expense management was driven by far fewer pandemic-related restrictions imposed on the restaurant, retail and hospitality sectors as compared to 2020.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higher dollar volumes helped produce the 10% increase in payment and processing fees via financial fees earned on payment volumes. In addition, the increase in transportation invoice transaction volume also positively contributed to the increase in payment and processing fees in 2021.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Bank service fees increased 31% year over year due to organic growth, specifically growth in the Company's integrated payments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gains from the sale of securities in 2021 and 2020 of $51,000 and $1,075,000,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primarily due to the purchase of additional bank-owned life insurance in September 2021 and an increase in death benefits received over the prior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tbl>
      <w:tblPr>
        <w:tblW w:w="10205" w:type="dxa"/>
        <w:jc w:val="center"/>
        <w:tblInd w:w="0" w:type="dxa"/>
        <w:tblCellMar>
          <w:top w:w="28" w:type="dxa"/>
          <w:left w:w="28" w:type="dxa"/>
          <w:bottom w:w="28" w:type="dxa"/>
          <w:right w:w="28" w:type="dxa"/>
        </w:tblCellMar>
      </w:tblPr>
      <w:tblGrid>
        <w:gridCol w:w="844"/>
        <w:gridCol w:w="742"/>
        <w:gridCol w:w="744"/>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63"/>
        <w:gridCol w:w="258"/>
        <w:gridCol w:w="547"/>
        <w:gridCol w:w="109"/>
        <w:gridCol w:w="109"/>
        <w:gridCol w:w="109"/>
        <w:gridCol w:w="255"/>
        <w:gridCol w:w="256"/>
        <w:gridCol w:w="614"/>
      </w:tblGrid>
      <w:tr>
        <w:trPr/>
        <w:tc>
          <w:tcPr>
            <w:tcW w:w="844"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30"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5028"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30" w:type="dxa"/>
            <w:gridSpan w:val="3"/>
            <w:vMerge w:val="continue"/>
            <w:tcBorders/>
            <w:shd w:fill="auto" w:val="clear"/>
            <w:tcMar>
              <w:top w:w="0" w:type="dxa"/>
              <w:left w:w="0" w:type="dxa"/>
              <w:bottom w:w="0" w:type="dxa"/>
              <w:right w:w="0" w:type="dxa"/>
            </w:tcMar>
            <w:vAlign w:val="center"/>
          </w:tcPr>
          <w:p>
            <w:pPr>
              <w:pStyle w:val="Normal"/>
              <w:rPr/>
            </w:pPr>
            <w:r>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 v.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 v. 2019</w:t>
            </w:r>
          </w:p>
        </w:tc>
      </w:tr>
      <w:tr>
        <w:trPr/>
        <w:tc>
          <w:tcPr>
            <w:tcW w:w="23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earning assets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1,999,609 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1,674,297 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1,472,399 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54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6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0"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Net interest income </w:t>
            </w:r>
            <w:r>
              <w:rPr>
                <w:rFonts w:ascii="Times New Roman;sans-serif" w:hAnsi="Times New Roman;sans-serif"/>
                <w:b/>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14"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0"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Net interest margin </w:t>
            </w:r>
            <w:r>
              <w:rPr>
                <w:rFonts w:ascii="Times New Roman;sans-serif" w:hAnsi="Times New Roman;sans-serif"/>
                <w:b/>
                <w:color w:val="000000"/>
                <w:sz w:val="13"/>
              </w:rPr>
              <w:t>(1)</w:t>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Yield on earning assets </w:t>
            </w:r>
            <w:r>
              <w:rPr>
                <w:rFonts w:ascii="Times New Roman;sans-serif" w:hAnsi="Times New Roman;sans-serif"/>
                <w:b/>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0"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on interest bearing liabilities </w:t>
            </w:r>
          </w:p>
        </w:tc>
        <w:tc>
          <w:tcPr>
            <w:tcW w:w="1187"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458"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187"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068"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125"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color w:val="000000"/>
          <w:sz w:val="20"/>
        </w:rPr>
        <w:t>(1)</w:t>
      </w:r>
      <w:r>
        <w:rPr>
          <w:rFonts w:ascii="Times New Roman;sans-serif" w:hAnsi="Times New Roman;sans-serif"/>
          <w:b w:val="false"/>
          <w:color w:val="000000"/>
          <w:sz w:val="20"/>
        </w:rPr>
        <w:t>Presented on a tax-equivalent basis using a tax rate of 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interest income in 2021 compared to 2020 is primarily due to the Federal Reserve’s actions to lower the Federal Funds rate in the first quarter of 2020, adversely impacting the net interest rate margin which declined to 2.31% as compared to 2.82% in the prior year. An increase in average earning assets partially offset the impact of the near-zero interest rate environment on the Company’s net interest margin. The yield on interest-earning assets declined 59 basis points from 2.96% in 2020 to 2.37% in 2021 while the cost of interest-bearing liabilities declined 29 basis points from 0.49 % in 2020 to 0.20% in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loans decreased $18,699,000, or 2%, to $887,662,000. This decrease was primarily the result of the decline in the average balance of PPP loans of $49,758,000 due to the forgiveness of these loans throughout the year. Excluding PPP loans, average loans increased $31,060,000. The average yield on loans declined 20 basis points to 3.96% in 2021 due to the continued repricing of loans in the current low interest rate environment in addition to lower fees earned on PPP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investment securities increased $132,303,000, or 36%. The Company purchased investment securities throughout 2021 in an effort to deploy short-term investments into investment securities to enhance the yield on interest-earning assets. The investment portfolio will expand and contract over time as the Company manages its liquidity and interest rate position. The average yield on investment securities declined 62 basis points to 2.30% in 2021 due to the purchase of investment securities in 2021 in a historically low rate environment.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short-term investments, consisting of interest bearing deposits in other financial institutions and federal funds sold, increased $211,963,000, or 53%. The increase is a result of the increase in the average balance of deposits and accounts and drafts payable, partially offset by the purchase of investment securities. The average yield on short-term investments declined 18 basis points to 0.12% in 2021. The vast majority of these short-term investments are held at the Federal Reserve Bank.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interest-bearing deposits increased $111,651,000, or 23%, and average non-interest-bearing demand deposits increased $91,447,000, or 26%. These increases were largely due to the impact of government stimulus programs and resulting cash deposits, along with an increase in the Company's integrated payments activity. The cost of interest-bearing deposits decreased 29 basis points to 0.20% in 2021 as a result of the repricing of customer deposits in the historically low interest rate environment. </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Distribution of Assets, Liabilities and Shareholders' Equity; Interest Rate and Interest Differential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tbl>
      <w:tblPr>
        <w:tblW w:w="12510" w:type="dxa"/>
        <w:jc w:val="center"/>
        <w:tblInd w:w="0" w:type="dxa"/>
        <w:tblCellMar>
          <w:top w:w="28" w:type="dxa"/>
          <w:left w:w="28" w:type="dxa"/>
          <w:bottom w:w="28" w:type="dxa"/>
          <w:right w:w="28" w:type="dxa"/>
        </w:tblCellMar>
      </w:tblPr>
      <w:tblGrid>
        <w:gridCol w:w="750"/>
        <w:gridCol w:w="422"/>
        <w:gridCol w:w="38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96"/>
        <w:gridCol w:w="646"/>
        <w:gridCol w:w="109"/>
        <w:gridCol w:w="109"/>
        <w:gridCol w:w="109"/>
        <w:gridCol w:w="109"/>
        <w:gridCol w:w="233"/>
        <w:gridCol w:w="233"/>
        <w:gridCol w:w="325"/>
      </w:tblGrid>
      <w:tr>
        <w:trPr/>
        <w:tc>
          <w:tcPr>
            <w:tcW w:w="75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5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525"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5"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5" w:type="dxa"/>
            <w:gridSpan w:val="12"/>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561"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Income/</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Yield/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Yield/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Balance</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Yield/ Rate</w:t>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Assets</w:t>
            </w:r>
            <w:r>
              <w:rPr>
                <w:color w:val="000000"/>
              </w:rPr>
              <w:t xml:space="preserve"> </w:t>
            </w:r>
            <w:r>
              <w:rPr>
                <w:rFonts w:ascii="Times New Roman;sans-serif" w:hAnsi="Times New Roman;sans-serif"/>
                <w:b/>
                <w:color w:val="000000"/>
                <w:sz w:val="10"/>
              </w:rPr>
              <w:t>(1)</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Interest-earning assets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Loans </w:t>
            </w:r>
            <w:r>
              <w:rPr>
                <w:rFonts w:ascii="Times New Roman;sans-serif" w:hAnsi="Times New Roman;sans-serif"/>
                <w:b/>
                <w:color w:val="000000"/>
                <w:sz w:val="10"/>
              </w:rPr>
              <w:t>(2), (3)</w:t>
            </w:r>
            <w:r>
              <w:rPr>
                <w:rFonts w:ascii="Times New Roman;sans-serif" w:hAnsi="Times New Roman;sans-serif"/>
                <w:b w:val="false"/>
                <w:color w:val="000000"/>
                <w:sz w:val="16"/>
              </w:rPr>
              <w:t xml:space="preserve">: </w:t>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887,662 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278"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906,361 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278"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760,153 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325"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Securities </w:t>
            </w:r>
            <w:r>
              <w:rPr>
                <w:rFonts w:ascii="Times New Roman;sans-serif" w:hAnsi="Times New Roman;sans-serif"/>
                <w:b/>
                <w:color w:val="000000"/>
                <w:sz w:val="10"/>
              </w:rPr>
              <w:t>(5)</w:t>
            </w:r>
            <w:r>
              <w:rPr>
                <w:rFonts w:ascii="Times New Roman;sans-serif" w:hAnsi="Times New Roman;sans-serif"/>
                <w:b w:val="false"/>
                <w:color w:val="000000"/>
                <w:sz w:val="16"/>
              </w:rPr>
              <w:t xml:space="preserve">: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Taxable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192,885 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3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Tax-exempt </w:t>
            </w:r>
            <w:r>
              <w:rPr>
                <w:rFonts w:ascii="Times New Roman;sans-serif" w:hAnsi="Times New Roman;sans-serif"/>
                <w:b/>
                <w:color w:val="000000"/>
                <w:sz w:val="10"/>
              </w:rPr>
              <w:t>(4)</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Certificates of deposit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3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interest-earning assets </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1,999,609 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1,674,297 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1,472,399 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Non-interest-earning assets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due from banks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Premises and equipment,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in excess of funding</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211,809 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160,692 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Bank owned life insurance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Goodwill and other intangibles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assets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Allowance for credit losses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 xml:space="preserve">Liabilities and Shareholders’ Equity </w:t>
            </w:r>
            <w:r>
              <w:rPr>
                <w:rFonts w:ascii="Times New Roman;sans-serif" w:hAnsi="Times New Roman;sans-serif"/>
                <w:b/>
                <w:color w:val="000000"/>
                <w:sz w:val="10"/>
              </w:rPr>
              <w:t>(1)</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Interest-bearing liabilities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Interest-bearing demand deposits </w:t>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521,409 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78"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398,585 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278"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311,434 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325"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Savings deposits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Time deposits &gt;=$250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3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time deposits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interest-bearing deposits </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Short-term borrowings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interest-bearing liabilities </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Noninterest-bearing liabilities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Demand deposits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447,880 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and drafts payable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liabilities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54,035 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65,513 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Shareholders’ equity </w:t>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253,436 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share-holders’ equity </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Net interest income </w:t>
            </w:r>
            <w:r>
              <w:rPr>
                <w:rFonts w:ascii="Times New Roman;sans-serif" w:hAnsi="Times New Roman;sans-serif"/>
                <w:b/>
                <w:color w:val="000000"/>
                <w:sz w:val="10"/>
              </w:rPr>
              <w:t>(4)</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Net interest margin </w:t>
            </w:r>
            <w:r>
              <w:rPr>
                <w:rFonts w:ascii="Times New Roman;sans-serif" w:hAnsi="Times New Roman;sans-serif"/>
                <w:b/>
                <w:color w:val="000000"/>
                <w:sz w:val="10"/>
              </w:rPr>
              <w:t>(4)</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27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27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32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61"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spread </w:t>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278"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278"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325"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0" w:after="0"/>
        <w:ind w:left="0" w:right="0" w:hanging="720"/>
        <w:rPr/>
      </w:pPr>
      <w:r>
        <w:rPr>
          <w:rFonts w:ascii="Times New Roman;sans-serif" w:hAnsi="Times New Roman;sans-serif"/>
          <w:b/>
          <w:color w:val="000000"/>
          <w:sz w:val="20"/>
        </w:rPr>
        <w:t>(1)</w:t>
      </w:r>
      <w:r>
        <w:rPr>
          <w:rFonts w:ascii="Times New Roman;sans-serif" w:hAnsi="Times New Roman;sans-serif"/>
          <w:b w:val="false"/>
          <w:color w:val="000000"/>
          <w:sz w:val="20"/>
        </w:rPr>
        <w:t>Balances shown are daily averages.</w:t>
      </w:r>
    </w:p>
    <w:p>
      <w:pPr>
        <w:pStyle w:val="TextBody"/>
        <w:spacing w:lineRule="auto" w:line="288" w:before="0" w:after="0"/>
        <w:ind w:left="0" w:right="0" w:hanging="720"/>
        <w:rPr/>
      </w:pPr>
      <w:r>
        <w:rPr>
          <w:rFonts w:ascii="Times New Roman;sans-serif" w:hAnsi="Times New Roman;sans-serif"/>
          <w:b/>
          <w:color w:val="000000"/>
          <w:sz w:val="20"/>
        </w:rPr>
        <w:t>(2)</w:t>
      </w:r>
      <w:r>
        <w:rPr>
          <w:rFonts w:ascii="Times New Roman;sans-serif" w:hAnsi="Times New Roman;sans-serif"/>
          <w:b w:val="false"/>
          <w:color w:val="000000"/>
          <w:sz w:val="20"/>
        </w:rPr>
        <w:t>For purposes of these computations, nonaccrual loans are included in the average loan amounts outstanding. Interest on nonaccrual loans is recorded when received as discussed further in Item 8, Note 1 of this report.</w:t>
      </w:r>
    </w:p>
    <w:p>
      <w:pPr>
        <w:pStyle w:val="TextBody"/>
        <w:spacing w:lineRule="auto" w:line="288" w:before="0" w:after="0"/>
        <w:ind w:left="0" w:right="0" w:hanging="720"/>
        <w:rPr/>
      </w:pPr>
      <w:r>
        <w:rPr>
          <w:rFonts w:ascii="Times New Roman;sans-serif" w:hAnsi="Times New Roman;sans-serif"/>
          <w:b/>
          <w:color w:val="000000"/>
          <w:sz w:val="20"/>
        </w:rPr>
        <w:t>(3)</w:t>
      </w:r>
      <w:r>
        <w:rPr>
          <w:rFonts w:ascii="Times New Roman;sans-serif" w:hAnsi="Times New Roman;sans-serif"/>
          <w:b w:val="false"/>
          <w:color w:val="000000"/>
          <w:sz w:val="20"/>
        </w:rPr>
        <w:t xml:space="preserve">Interest income on loans includes net loan fees of $3,412,000, $3,608,000, and $650,000 for 2021, 2020 and 2019, respectively. Loan fees include $2,634,000 and $3,057,000 of PPP loan fees for 2021 and 2020, respectively. </w:t>
      </w:r>
    </w:p>
    <w:p>
      <w:pPr>
        <w:pStyle w:val="TextBody"/>
        <w:spacing w:lineRule="auto" w:line="288" w:before="0" w:after="0"/>
        <w:ind w:left="0" w:right="0" w:hanging="720"/>
        <w:rPr/>
      </w:pPr>
      <w:r>
        <w:rPr>
          <w:rFonts w:ascii="Times New Roman;sans-serif" w:hAnsi="Times New Roman;sans-serif"/>
          <w:b/>
          <w:color w:val="000000"/>
          <w:sz w:val="20"/>
        </w:rPr>
        <w:t>(4)</w:t>
      </w:r>
      <w:r>
        <w:rPr>
          <w:rFonts w:ascii="Times New Roman;sans-serif" w:hAnsi="Times New Roman;sans-serif"/>
          <w:b w:val="false"/>
          <w:color w:val="000000"/>
          <w:sz w:val="20"/>
        </w:rPr>
        <w:t>Interest income is presented on a tax-equivalent basis assuming a tax rate of 21%. The tax-equivalent adjustment was approximately $1,873,000, $1,889,000, and $2,085,000 for 2021, 2020 and 2019, respectively.</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720"/>
        <w:rPr/>
      </w:pPr>
      <w:r>
        <w:rPr>
          <w:rFonts w:ascii="Times New Roman;sans-serif" w:hAnsi="Times New Roman;sans-serif"/>
          <w:b/>
          <w:color w:val="000000"/>
          <w:sz w:val="20"/>
        </w:rPr>
        <w:t>(5)</w:t>
      </w:r>
      <w:r>
        <w:rPr>
          <w:rFonts w:ascii="Times New Roman;sans-serif" w:hAnsi="Times New Roman;sans-serif"/>
          <w:b w:val="false"/>
          <w:color w:val="000000"/>
          <w:sz w:val="20"/>
        </w:rPr>
        <w:t>For purposes of these computations, yields on investment securities are computed as interest income divided by the average amortized cost of the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Analysis of Net Interest Income Changes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interest income and expense between years due to changes in volume and interest rates.</w:t>
      </w:r>
    </w:p>
    <w:tbl>
      <w:tblPr>
        <w:tblW w:w="10205" w:type="dxa"/>
        <w:jc w:val="left"/>
        <w:tblInd w:w="0" w:type="dxa"/>
        <w:tblCellMar>
          <w:top w:w="28" w:type="dxa"/>
          <w:left w:w="28" w:type="dxa"/>
          <w:bottom w:w="28" w:type="dxa"/>
          <w:right w:w="28" w:type="dxa"/>
        </w:tblCellMar>
      </w:tblPr>
      <w:tblGrid>
        <w:gridCol w:w="979"/>
        <w:gridCol w:w="672"/>
        <w:gridCol w:w="674"/>
        <w:gridCol w:w="215"/>
        <w:gridCol w:w="629"/>
        <w:gridCol w:w="111"/>
        <w:gridCol w:w="109"/>
        <w:gridCol w:w="109"/>
        <w:gridCol w:w="109"/>
        <w:gridCol w:w="211"/>
        <w:gridCol w:w="661"/>
        <w:gridCol w:w="109"/>
        <w:gridCol w:w="109"/>
        <w:gridCol w:w="109"/>
        <w:gridCol w:w="109"/>
        <w:gridCol w:w="211"/>
        <w:gridCol w:w="661"/>
        <w:gridCol w:w="109"/>
        <w:gridCol w:w="109"/>
        <w:gridCol w:w="109"/>
        <w:gridCol w:w="109"/>
        <w:gridCol w:w="211"/>
        <w:gridCol w:w="616"/>
        <w:gridCol w:w="109"/>
        <w:gridCol w:w="109"/>
        <w:gridCol w:w="109"/>
        <w:gridCol w:w="109"/>
        <w:gridCol w:w="211"/>
        <w:gridCol w:w="766"/>
        <w:gridCol w:w="109"/>
        <w:gridCol w:w="109"/>
        <w:gridCol w:w="109"/>
        <w:gridCol w:w="109"/>
        <w:gridCol w:w="211"/>
        <w:gridCol w:w="661"/>
        <w:gridCol w:w="434"/>
      </w:tblGrid>
      <w:tr>
        <w:trPr/>
        <w:tc>
          <w:tcPr>
            <w:tcW w:w="97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r>
      <w:tr>
        <w:trPr/>
        <w:tc>
          <w:tcPr>
            <w:tcW w:w="2325"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571"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 Over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2"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 Over 2019</w:t>
            </w:r>
          </w:p>
        </w:tc>
      </w:tr>
      <w:tr>
        <w:trPr/>
        <w:tc>
          <w:tcPr>
            <w:tcW w:w="2325" w:type="dxa"/>
            <w:gridSpan w:val="3"/>
            <w:vMerge w:val="continue"/>
            <w:tcBorders/>
            <w:shd w:fill="auto" w:val="clear"/>
            <w:tcMar>
              <w:top w:w="0" w:type="dxa"/>
              <w:left w:w="0" w:type="dxa"/>
              <w:bottom w:w="0" w:type="dxa"/>
              <w:right w:w="0" w:type="dxa"/>
            </w:tcMar>
            <w:vAlign w:val="center"/>
          </w:tcPr>
          <w:p>
            <w:pPr>
              <w:pStyle w:val="Normal"/>
              <w:rPr/>
            </w:pPr>
            <w:r>
              <w:rPr/>
            </w:r>
          </w:p>
        </w:tc>
        <w:tc>
          <w:tcPr>
            <w:tcW w:w="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 xml:space="preserve">Volume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 xml:space="preserve">Rate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Volume</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 xml:space="preserve">Rate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(decrease) in interest income: </w:t>
            </w:r>
          </w:p>
        </w:tc>
        <w:tc>
          <w:tcPr>
            <w:tcW w:w="95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Loans </w:t>
            </w:r>
            <w:r>
              <w:rPr>
                <w:rFonts w:ascii="Times New Roman;sans-serif" w:hAnsi="Times New Roman;sans-serif"/>
                <w:b/>
                <w:color w:val="000000"/>
                <w:sz w:val="13"/>
              </w:rPr>
              <w:t>(2), (3)</w:t>
            </w:r>
            <w:r>
              <w:rPr>
                <w:rFonts w:ascii="Times New Roman;sans-serif" w:hAnsi="Times New Roman;sans-serif"/>
                <w:b w:val="false"/>
                <w:color w:val="000000"/>
                <w:sz w:val="20"/>
              </w:rPr>
              <w:t xml:space="preserve">: </w:t>
            </w:r>
          </w:p>
        </w:tc>
        <w:tc>
          <w:tcPr>
            <w:tcW w:w="2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w:t>
            </w:r>
          </w:p>
        </w:tc>
        <w:tc>
          <w:tcPr>
            <w:tcW w:w="9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w:t>
            </w:r>
          </w:p>
        </w:tc>
        <w:tc>
          <w:tcPr>
            <w:tcW w:w="8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300"/>
              <w:jc w:val="left"/>
              <w:rPr/>
            </w:pPr>
            <w:r>
              <w:rPr>
                <w:rFonts w:ascii="Times New Roman;sans-serif" w:hAnsi="Times New Roman;sans-serif"/>
                <w:b w:val="false"/>
                <w:color w:val="000000"/>
                <w:sz w:val="20"/>
              </w:rPr>
              <w:t xml:space="preserve">Tax-exempt </w:t>
            </w:r>
            <w:r>
              <w:rPr>
                <w:rFonts w:ascii="Times New Roman;sans-serif" w:hAnsi="Times New Roman;sans-serif"/>
                <w:b/>
                <w:color w:val="000000"/>
                <w:sz w:val="13"/>
              </w:rPr>
              <w:t>(4)</w:t>
            </w:r>
          </w:p>
        </w:tc>
        <w:tc>
          <w:tcPr>
            <w:tcW w:w="84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434"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Certificates of deposit </w:t>
            </w:r>
          </w:p>
        </w:tc>
        <w:tc>
          <w:tcPr>
            <w:tcW w:w="8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4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w:t>
            </w:r>
          </w:p>
        </w:tc>
        <w:tc>
          <w:tcPr>
            <w:tcW w:w="4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income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on: </w:t>
            </w:r>
          </w:p>
        </w:tc>
        <w:tc>
          <w:tcPr>
            <w:tcW w:w="95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Interest-bearing demand deposits </w:t>
            </w:r>
          </w:p>
        </w:tc>
        <w:tc>
          <w:tcPr>
            <w:tcW w:w="2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w:t>
            </w:r>
          </w:p>
        </w:tc>
        <w:tc>
          <w:tcPr>
            <w:tcW w:w="434"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Savings deposits </w:t>
            </w:r>
          </w:p>
        </w:tc>
        <w:tc>
          <w:tcPr>
            <w:tcW w:w="84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34"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&gt;=$250 </w:t>
            </w:r>
          </w:p>
        </w:tc>
        <w:tc>
          <w:tcPr>
            <w:tcW w:w="8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34"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time deposits </w:t>
            </w:r>
          </w:p>
        </w:tc>
        <w:tc>
          <w:tcPr>
            <w:tcW w:w="84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434"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borrowings </w:t>
            </w:r>
          </w:p>
        </w:tc>
        <w:tc>
          <w:tcPr>
            <w:tcW w:w="8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43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w:t>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color w:val="000000"/>
          <w:sz w:val="20"/>
        </w:rPr>
        <w:t>(1)</w:t>
      </w:r>
      <w:r>
        <w:rPr>
          <w:rFonts w:ascii="Times New Roman;sans-serif" w:hAnsi="Times New Roman;sans-serif"/>
          <w:b w:val="false"/>
          <w:color w:val="000000"/>
          <w:sz w:val="20"/>
        </w:rPr>
        <w:t>The change in interest due to the combined rate/volume variance has been allocated in proportion to the absolute dollar amounts of the change in each.</w:t>
      </w:r>
    </w:p>
    <w:p>
      <w:pPr>
        <w:pStyle w:val="TextBody"/>
        <w:spacing w:lineRule="auto" w:line="288" w:before="0" w:after="0"/>
        <w:ind w:left="0" w:right="0" w:hanging="720"/>
        <w:rPr/>
      </w:pPr>
      <w:r>
        <w:rPr>
          <w:rFonts w:ascii="Times New Roman;sans-serif" w:hAnsi="Times New Roman;sans-serif"/>
          <w:b/>
          <w:color w:val="000000"/>
          <w:sz w:val="20"/>
        </w:rPr>
        <w:t>(2)</w:t>
      </w:r>
      <w:r>
        <w:rPr>
          <w:rFonts w:ascii="Times New Roman;sans-serif" w:hAnsi="Times New Roman;sans-serif"/>
          <w:b w:val="false"/>
          <w:color w:val="000000"/>
          <w:sz w:val="20"/>
        </w:rPr>
        <w:t>Average balances include nonaccrual loans.</w:t>
      </w:r>
    </w:p>
    <w:p>
      <w:pPr>
        <w:pStyle w:val="TextBody"/>
        <w:spacing w:lineRule="auto" w:line="288" w:before="0" w:after="0"/>
        <w:ind w:left="0" w:right="0" w:hanging="720"/>
        <w:rPr/>
      </w:pPr>
      <w:r>
        <w:rPr>
          <w:rFonts w:ascii="Times New Roman;sans-serif" w:hAnsi="Times New Roman;sans-serif"/>
          <w:b/>
          <w:color w:val="000000"/>
          <w:sz w:val="20"/>
        </w:rPr>
        <w:t>(3)</w:t>
      </w:r>
      <w:r>
        <w:rPr>
          <w:rFonts w:ascii="Times New Roman;sans-serif" w:hAnsi="Times New Roman;sans-serif"/>
          <w:b w:val="false"/>
          <w:color w:val="000000"/>
          <w:sz w:val="20"/>
        </w:rPr>
        <w:t>Interest income includes net loan fees.</w:t>
      </w:r>
    </w:p>
    <w:p>
      <w:pPr>
        <w:pStyle w:val="TextBody"/>
        <w:spacing w:lineRule="auto" w:line="288" w:before="0" w:after="0"/>
        <w:ind w:left="0" w:right="0" w:hanging="720"/>
        <w:rPr/>
      </w:pPr>
      <w:r>
        <w:rPr>
          <w:rFonts w:ascii="Times New Roman;sans-serif" w:hAnsi="Times New Roman;sans-serif"/>
          <w:b/>
          <w:color w:val="000000"/>
          <w:sz w:val="20"/>
        </w:rPr>
        <w:t>(4)</w:t>
      </w:r>
      <w:r>
        <w:rPr>
          <w:rFonts w:ascii="Times New Roman;sans-serif" w:hAnsi="Times New Roman;sans-serif"/>
          <w:b w:val="false"/>
          <w:color w:val="000000"/>
          <w:sz w:val="20"/>
        </w:rPr>
        <w:t>Interest income is presented on a tax-equivalent basis assuming a tax rate of 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Loan Portfolio</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earned on the loan portfolio is a primary source of income for the Company. The loan portfolio was $960,567,000 representing 38% of the Company's total assets as of December 31, 2021 and generated $35,178,000 in interest income during the year then ended. The following tables show the composition of the loan portfolio at the end of the periods indicated and remaining maturities for loans as of December 31, 2021.</w:t>
      </w:r>
    </w:p>
    <w:tbl>
      <w:tblPr>
        <w:tblW w:w="7924" w:type="dxa"/>
        <w:jc w:val="center"/>
        <w:tblInd w:w="0" w:type="dxa"/>
        <w:tblCellMar>
          <w:top w:w="28" w:type="dxa"/>
          <w:left w:w="28" w:type="dxa"/>
          <w:bottom w:w="28" w:type="dxa"/>
          <w:right w:w="28" w:type="dxa"/>
        </w:tblCellMar>
      </w:tblPr>
      <w:tblGrid>
        <w:gridCol w:w="1272"/>
        <w:gridCol w:w="1114"/>
        <w:gridCol w:w="1124"/>
        <w:gridCol w:w="211"/>
        <w:gridCol w:w="826"/>
        <w:gridCol w:w="109"/>
        <w:gridCol w:w="109"/>
        <w:gridCol w:w="109"/>
        <w:gridCol w:w="109"/>
        <w:gridCol w:w="211"/>
        <w:gridCol w:w="826"/>
        <w:gridCol w:w="109"/>
        <w:gridCol w:w="109"/>
        <w:gridCol w:w="109"/>
        <w:gridCol w:w="109"/>
        <w:gridCol w:w="211"/>
        <w:gridCol w:w="826"/>
        <w:gridCol w:w="431"/>
      </w:tblGrid>
      <w:tr>
        <w:trPr/>
        <w:tc>
          <w:tcPr>
            <w:tcW w:w="1272"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Loans by Type</w:t>
            </w:r>
          </w:p>
        </w:tc>
        <w:tc>
          <w:tcPr>
            <w:tcW w:w="4414"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51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323,857 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(commercial and faith-based):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51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434,080 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407,480 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41,244 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PPP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loans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772,638 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Loans by Maturity as of December 31, 2021</w:t>
      </w:r>
    </w:p>
    <w:tbl>
      <w:tblPr>
        <w:tblW w:w="11147" w:type="dxa"/>
        <w:jc w:val="center"/>
        <w:tblInd w:w="0" w:type="dxa"/>
        <w:tblCellMar>
          <w:top w:w="28" w:type="dxa"/>
          <w:left w:w="28" w:type="dxa"/>
          <w:bottom w:w="28" w:type="dxa"/>
          <w:right w:w="28" w:type="dxa"/>
        </w:tblCellMar>
      </w:tblPr>
      <w:tblGrid>
        <w:gridCol w:w="542"/>
        <w:gridCol w:w="337"/>
        <w:gridCol w:w="30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401"/>
      </w:tblGrid>
      <w:tr>
        <w:trPr/>
        <w:tc>
          <w:tcPr>
            <w:tcW w:w="54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1 Year</w:t>
              <w:br/>
              <w:t>Through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Over 5 Years </w:t>
            </w:r>
          </w:p>
          <w:p>
            <w:pPr>
              <w:pStyle w:val="TableContents"/>
              <w:spacing w:lineRule="auto" w:line="240" w:before="0" w:after="0"/>
              <w:jc w:val="center"/>
              <w:rPr/>
            </w:pPr>
            <w:r>
              <w:rPr>
                <w:rFonts w:ascii="Times New Roman;sans-serif" w:hAnsi="Times New Roman;sans-serif"/>
                <w:b/>
                <w:color w:val="000000"/>
                <w:sz w:val="20"/>
              </w:rPr>
              <w:t xml:space="preserve">Through 15 Years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w:t>
              <w:br/>
              <w:t>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w:t>
              <w:br/>
              <w:t>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w:t>
              <w:br/>
              <w:t>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40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118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464,341 </w:t>
            </w:r>
          </w:p>
        </w:tc>
        <w:tc>
          <w:tcPr>
            <w:tcW w:w="401" w:type="dxa"/>
            <w:tcBorders/>
            <w:shd w:fill="DBDBDB"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PPP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4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loans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465,711 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254,882 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4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720"/>
        <w:jc w:val="both"/>
        <w:rPr/>
      </w:pPr>
      <w:r>
        <w:rPr>
          <w:rFonts w:ascii="Times New Roman;sans-serif" w:hAnsi="Times New Roman;sans-serif"/>
          <w:b/>
          <w:color w:val="000000"/>
          <w:sz w:val="20"/>
        </w:rPr>
        <w:t>(1)</w:t>
      </w:r>
      <w:r>
        <w:rPr>
          <w:rFonts w:ascii="Times New Roman;sans-serif" w:hAnsi="Times New Roman;sans-serif"/>
          <w:b w:val="false"/>
          <w:color w:val="000000"/>
          <w:sz w:val="20"/>
        </w:rPr>
        <w:t>The Company did not have any loans with maturities greater than 15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 concentrations of loans exceeding 10% of total loans, which are not otherwise disclosed in the loan portfolio composition table and as are discussed in Item 8, Note 4, of this report. As can be seen in the loan composition table above and as discussed in Item 8, Note 4, the Company's primary market niche for banking services is privately held businesses, franchise restaurants, and faith-based ministries.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increased $68,891,000, or 8%, during 2021 to $960,567,000 as of December 31, 2021. Franchise restaurant loans, which are included in commercial and industrial loans, increased $100,593,000 or 114%, during 2021 to $189,074,000 as of December 31, 2021. The increase in franchise loans was due to organic growth in an effort to expand this loan type. The Company also experienced organic loan growth in other loan types. These increases were partially offset by the decrease in PPP loans of $103,405,000 from $109,704,000 at December 31, 2020 to $6,299,000 at December 31, 2021. The decrease in PPP loans was due to ongoing forgiveness of these loans by the SBA in 2021. Additional details regarding the types and maturities of loans in the loan portfolio are contained in the tables above and in Item 8, Note 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Provision and Allowance for Credit Losses on Loans and Allowance for Unfunded Commitments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release of credit losses and off-balance sheet credit exposures of $130,000 in 2021 and a provision for credit losses of $810,000 in 2020. The amount of the (release of) provision for credit losses was derived from the Company’s quarterly CECL model. The amount of the provision will fluctuate as determined by these quarterly analyses. The Company had net loan recoveries of $27,000 and $20,000 in 2021 and 2020, respectively. The ACL was $12,041,000 at December 31, 2021 compared to $11,944,000 at December 31, 2020. The ACL represented 1.25% of outstanding loans at December 31, 2021 as compared to 1.34% of outstanding loans at December 31, 2020. The allowance for unfunded commitments was $367,000 at December 31, 2021 and $567,000 at December 31, 2020. There were no nonperforming loans outstanding at December 31, 2021 and December 31,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has been established and is maintained to estimate the lifetime credit losses expected in the loan portfolio. An ongoing assessment is performed to determine if the balance is adequate. Charges or credits are made to expense based on changes in the economic forecast, qualitative risk factors, loan volume, and individual loans. For loans that are individually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Company uses two impairment measurement methods: 1) the present value of expected future cash flows and 2) collateral value.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summarizes activity in the ACL and the allocation of the allowance to the Company’s loan categories.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of Credit Loss Experience</w:t>
      </w:r>
    </w:p>
    <w:tbl>
      <w:tblPr>
        <w:tblW w:w="10205" w:type="dxa"/>
        <w:jc w:val="center"/>
        <w:tblInd w:w="0" w:type="dxa"/>
        <w:tblCellMar>
          <w:top w:w="28" w:type="dxa"/>
          <w:left w:w="28" w:type="dxa"/>
          <w:bottom w:w="28" w:type="dxa"/>
          <w:right w:w="28" w:type="dxa"/>
        </w:tblCellMar>
      </w:tblPr>
      <w:tblGrid>
        <w:gridCol w:w="696"/>
        <w:gridCol w:w="404"/>
        <w:gridCol w:w="40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123"/>
      </w:tblGrid>
      <w:tr>
        <w:trPr/>
        <w:tc>
          <w:tcPr>
            <w:tcW w:w="69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r>
      <w:tr>
        <w:trPr/>
        <w:tc>
          <w:tcPr>
            <w:tcW w:w="15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870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505" w:type="dxa"/>
            <w:gridSpan w:val="3"/>
            <w:vMerge w:val="continue"/>
            <w:tcBorders/>
            <w:shd w:fill="auto" w:val="clear"/>
            <w:tcMar>
              <w:top w:w="0" w:type="dxa"/>
              <w:left w:w="0" w:type="dxa"/>
              <w:bottom w:w="0" w:type="dxa"/>
              <w:right w:w="0" w:type="dxa"/>
            </w:tcMar>
            <w:vAlign w:val="center"/>
          </w:tcPr>
          <w:p>
            <w:pPr>
              <w:pStyle w:val="Normal"/>
              <w:rPr/>
            </w:pPr>
            <w:r>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at beginning of year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charged-off: </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(commercial and faith-based): </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spacing w:before="0" w:after="283"/>
              <w:ind w:left="0" w:right="0" w:firstLine="99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DBDBDB" w:val="clear"/>
            <w:tcMar>
              <w:top w:w="0" w:type="dxa"/>
              <w:left w:w="0" w:type="dxa"/>
              <w:bottom w:w="0" w:type="dxa"/>
              <w:right w:w="0" w:type="dxa"/>
            </w:tcMar>
            <w:vAlign w:val="center"/>
          </w:tcPr>
          <w:p>
            <w:pPr>
              <w:pStyle w:val="TableContents"/>
              <w:spacing w:before="0" w:after="283"/>
              <w:ind w:left="0" w:right="0" w:firstLine="99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loans charged-off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Recoveries of loans previously charged-off: </w:t>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(commercial and faith-based):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DBDBDB" w:val="clear"/>
            <w:tcMar>
              <w:top w:w="0" w:type="dxa"/>
              <w:left w:w="0" w:type="dxa"/>
              <w:bottom w:w="0" w:type="dxa"/>
              <w:right w:w="0" w:type="dxa"/>
            </w:tcMar>
            <w:vAlign w:val="center"/>
          </w:tcPr>
          <w:p>
            <w:pPr>
              <w:pStyle w:val="TableContents"/>
              <w:spacing w:before="0" w:after="283"/>
              <w:ind w:left="0" w:right="0" w:firstLine="99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FFFFFF" w:val="clear"/>
            <w:tcMar>
              <w:top w:w="0" w:type="dxa"/>
              <w:left w:w="0" w:type="dxa"/>
              <w:bottom w:w="0" w:type="dxa"/>
              <w:right w:w="0" w:type="dxa"/>
            </w:tcMar>
            <w:vAlign w:val="center"/>
          </w:tcPr>
          <w:p>
            <w:pPr>
              <w:pStyle w:val="TableContents"/>
              <w:spacing w:before="0" w:after="283"/>
              <w:ind w:left="0" w:right="0" w:firstLine="99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recoveries of loans previously charged-off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loans recovered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Cumulative effect of accounting change (ASU 2016-13)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at beginning of next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unfunded commitments at beginning of year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(Release of) provision for credit losses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unfunded commitments at end of year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Cumulative effect of accounting change (ASU 2016-13)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unfunded commitments at beginning of next year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outstanding: </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54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887,662 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906,631 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760,153 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710,846 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663,653 </w:t>
            </w:r>
          </w:p>
        </w:tc>
        <w:tc>
          <w:tcPr>
            <w:tcW w:w="1123" w:type="dxa"/>
            <w:tcBorders/>
            <w:shd w:fill="DBDBDB" w:val="clear"/>
            <w:tcMar>
              <w:top w:w="0" w:type="dxa"/>
              <w:left w:w="0" w:type="dxa"/>
              <w:bottom w:w="0" w:type="dxa"/>
              <w:right w:w="0" w:type="dxa"/>
            </w:tcMar>
            <w:vAlign w:val="center"/>
          </w:tcPr>
          <w:p>
            <w:pPr>
              <w:pStyle w:val="TableContents"/>
              <w:spacing w:before="0" w:after="283"/>
              <w:ind w:left="0" w:right="0" w:firstLine="54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686,231 </w:t>
            </w:r>
          </w:p>
        </w:tc>
        <w:tc>
          <w:tcPr>
            <w:tcW w:w="112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Ratio of allowance for credit losses to loans outstanding: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DBDBDB" w:val="clear"/>
            <w:tcMar>
              <w:top w:w="0" w:type="dxa"/>
              <w:left w:w="0" w:type="dxa"/>
              <w:bottom w:w="0" w:type="dxa"/>
              <w:right w:w="0" w:type="dxa"/>
            </w:tcMar>
            <w:vAlign w:val="center"/>
          </w:tcPr>
          <w:p>
            <w:pPr>
              <w:pStyle w:val="TableContents"/>
              <w:spacing w:before="0" w:after="283"/>
              <w:ind w:left="0" w:right="0" w:firstLine="54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23" w:type="dxa"/>
            <w:tcBorders/>
            <w:shd w:fill="FFFFFF" w:val="clear"/>
            <w:tcMar>
              <w:top w:w="0" w:type="dxa"/>
              <w:left w:w="0" w:type="dxa"/>
              <w:bottom w:w="0" w:type="dxa"/>
              <w:right w:w="0" w:type="dxa"/>
            </w:tcMar>
            <w:vAlign w:val="center"/>
          </w:tcPr>
          <w:p>
            <w:pPr>
              <w:pStyle w:val="TableContents"/>
              <w:spacing w:lineRule="auto" w:line="240" w:before="0" w:after="283"/>
              <w:ind w:left="0" w:right="0" w:firstLine="54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23" w:type="dxa"/>
            <w:tcBorders/>
            <w:shd w:fill="DBDBDB"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Ratio of net recoveries to average loans outstanding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Allocation of allowance for credit losses </w:t>
            </w:r>
            <w:r>
              <w:rPr>
                <w:rFonts w:ascii="Times New Roman;sans-serif" w:hAnsi="Times New Roman;sans-serif"/>
                <w:b/>
                <w:color w:val="000000"/>
                <w:sz w:val="13"/>
              </w:rPr>
              <w:t>(1)</w:t>
            </w:r>
            <w:r>
              <w:rPr>
                <w:rFonts w:ascii="Times New Roman;sans-serif" w:hAnsi="Times New Roman;sans-serif"/>
                <w:b w:val="false"/>
                <w:color w:val="000000"/>
                <w:sz w:val="20"/>
              </w:rPr>
              <w:t xml:space="preserve">: </w:t>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12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(commercial and faith-based):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DBDBDB"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123" w:type="dxa"/>
            <w:tcBorders/>
            <w:shd w:fill="FFFFFF"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23" w:type="dxa"/>
            <w:tcBorders/>
            <w:shd w:fill="DBDBDB"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Percentage of categories to total loans: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DBDBDB"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23" w:type="dxa"/>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(commercial and faith-based):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DBDBDB" w:val="clear"/>
            <w:tcMar>
              <w:top w:w="0" w:type="dxa"/>
              <w:left w:w="0" w:type="dxa"/>
              <w:bottom w:w="0" w:type="dxa"/>
              <w:right w:w="0" w:type="dxa"/>
            </w:tcMar>
            <w:vAlign w:val="center"/>
          </w:tcPr>
          <w:p>
            <w:pPr>
              <w:pStyle w:val="TableContents"/>
              <w:spacing w:before="0" w:after="283"/>
              <w:ind w:left="0" w:right="0" w:firstLine="720"/>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23" w:type="dxa"/>
            <w:tcBorders/>
            <w:shd w:fill="FFFFFF" w:val="clear"/>
            <w:tcMar>
              <w:top w:w="0" w:type="dxa"/>
              <w:left w:w="0" w:type="dxa"/>
              <w:bottom w:w="0" w:type="dxa"/>
              <w:right w:w="0" w:type="dxa"/>
            </w:tcMar>
            <w:vAlign w:val="center"/>
          </w:tcPr>
          <w:p>
            <w:pPr>
              <w:pStyle w:val="TableContents"/>
              <w:spacing w:lineRule="auto" w:line="240" w:before="0" w:after="283"/>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23"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PPP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3" w:type="dxa"/>
            <w:tcBorders/>
            <w:shd w:fill="FFFFFF" w:val="clear"/>
            <w:tcMar>
              <w:top w:w="0" w:type="dxa"/>
              <w:left w:w="0" w:type="dxa"/>
              <w:bottom w:w="0" w:type="dxa"/>
              <w:right w:w="0" w:type="dxa"/>
            </w:tcMar>
            <w:vAlign w:val="center"/>
          </w:tcPr>
          <w:p>
            <w:pPr>
              <w:pStyle w:val="TableContents"/>
              <w:spacing w:lineRule="auto" w:line="240" w:before="0" w:after="283"/>
              <w:ind w:left="0" w:right="0" w:firstLine="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23"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hanging="720"/>
        <w:rPr/>
      </w:pPr>
      <w:r>
        <w:rPr>
          <w:rFonts w:ascii="Times New Roman;sans-serif" w:hAnsi="Times New Roman;sans-serif"/>
          <w:b/>
          <w:color w:val="000000"/>
          <w:sz w:val="20"/>
        </w:rPr>
        <w:t>(1)</w:t>
      </w:r>
      <w:r>
        <w:rPr>
          <w:rFonts w:ascii="Times New Roman;sans-serif" w:hAnsi="Times New Roman;sans-serif"/>
          <w:b w:val="false"/>
          <w:color w:val="000000"/>
          <w:sz w:val="20"/>
        </w:rPr>
        <w:t xml:space="preserve">Although specific allocations exist, the entire allowance is available to absorb losses in any particular loan category.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Nonperforming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income recognized on nonaccrual loans for the years ended 2021 and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nonaccrual loans or foreclosed assets at December 31, 2021 or December 31,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foreign loans. The Company's loan portfolio does not include a significant amount of single family real estate mortgages, as the Company does not market its services to retail customers. Also, the Company had no sub-prime mortgage loans or residential development loans in its portfolio in any of the years presented.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other interest-earning assets which would have been included in nonaccrual, past due or restructured loans if such assets were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of Nonperforming Assets</w:t>
      </w:r>
    </w:p>
    <w:tbl>
      <w:tblPr>
        <w:tblW w:w="9782" w:type="dxa"/>
        <w:jc w:val="center"/>
        <w:tblInd w:w="0" w:type="dxa"/>
        <w:tblCellMar>
          <w:top w:w="28" w:type="dxa"/>
          <w:left w:w="28" w:type="dxa"/>
          <w:bottom w:w="28" w:type="dxa"/>
          <w:right w:w="28" w:type="dxa"/>
        </w:tblCellMar>
      </w:tblPr>
      <w:tblGrid>
        <w:gridCol w:w="1737"/>
        <w:gridCol w:w="1529"/>
        <w:gridCol w:w="1533"/>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737"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98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799"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Nonaccrual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Contractually past due 90 days or more and still accruing </w:t>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 mortgage: </w:t>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w:t>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Contractually past due 90 days or more and still accruing </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nonperforming loans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foreclosed assets </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nonperforming assets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Operating expenses in 2021 compared to 2020 and 2019 include the following significant pre-tax components:</w:t>
      </w:r>
    </w:p>
    <w:tbl>
      <w:tblPr>
        <w:tblW w:w="6942" w:type="dxa"/>
        <w:jc w:val="left"/>
        <w:tblInd w:w="0" w:type="dxa"/>
        <w:tblCellMar>
          <w:top w:w="28" w:type="dxa"/>
          <w:left w:w="28" w:type="dxa"/>
          <w:bottom w:w="28" w:type="dxa"/>
          <w:right w:w="28" w:type="dxa"/>
        </w:tblCellMar>
      </w:tblPr>
      <w:tblGrid>
        <w:gridCol w:w="1015"/>
        <w:gridCol w:w="894"/>
        <w:gridCol w:w="896"/>
        <w:gridCol w:w="211"/>
        <w:gridCol w:w="826"/>
        <w:gridCol w:w="109"/>
        <w:gridCol w:w="109"/>
        <w:gridCol w:w="109"/>
        <w:gridCol w:w="109"/>
        <w:gridCol w:w="211"/>
        <w:gridCol w:w="826"/>
        <w:gridCol w:w="109"/>
        <w:gridCol w:w="109"/>
        <w:gridCol w:w="109"/>
        <w:gridCol w:w="109"/>
        <w:gridCol w:w="211"/>
        <w:gridCol w:w="826"/>
        <w:gridCol w:w="154"/>
      </w:tblGrid>
      <w:tr>
        <w:trPr/>
        <w:tc>
          <w:tcPr>
            <w:tcW w:w="101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13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05" w:type="dxa"/>
            <w:gridSpan w:val="3"/>
            <w:vMerge w:val="continue"/>
            <w:tcBorders/>
            <w:shd w:fill="FFFFFF"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8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119,769 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Personnel expense increased $4,093,000, or 5%, to $92,155,000 as a result of: a) an increase in 401(k) match expense of $1,980,000 due to the increase in Company 401(k) match as a result of the freezing of the defined benefit pension plan in February 2021; b) an increase in base salaries and other benefits (i.e. payroll taxes) due to the increase in transaction volume in 2021 as compared to 2020 along with general salary increases; and c) an increase in profit sharing of $773,000 associated with the corresponding increase in net income. These increases were partially offset by a reduction in cost associated with the Company's defined benefit pension plan of $5,918,000 due to the freezing of the plan in February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increased $1,356,000, or 9%, to $16,743,000 as a result of: a) an increase in business development expense; b) an increase in data processing and other outside service charges related to increased payment volumes; and c) an increase in employee procurement expense. These increases were partially offset by a decrease in professional fees as a result of the hiring of a General Counsel in late 2020 and an associated decrease in outside legal fees.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 2021 totaled $5,217,000, compared to $5,165,000 in 2020. When measured as a percent of pre-tax income, the Company’s effective tax rate was 15.4% and 17.0% in 2021 and 2020, respectively. The decrease in the effective tax rate in 2021 compared to 2020 was primarily due to changes in the levels of tax credits, tax-free interest income on municipal securities, income on bank-owned life insurance and other miscellaneous book to tax true-ups upon filing of the Company's tax returns for the years ended December 31, 2020 and 2019.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Investment Portfolio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increased $315,727,000, or 88%, during 2021 to $673,453,000 at December 31, 2021. State and political subdivision securities increased $65,154,000, or 21%, to $371,128,000. Mortgage-backed securities increased $116,894,000, or 226%, to $168,646,000. The Company also purchased corporate bonds and asset-backed securities throughout 2021 in an effort to invest liquidity and increase the yield on interest-earning assets.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2021, the Company's purchase of investment securities totaled $494,226,000.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single issuer of securities in the investment portfolio at December 31, 2021 for which the aggregate amortized cost exceeded 10% of total shareholders' equity.</w:t>
      </w:r>
    </w:p>
    <w:tbl>
      <w:tblPr>
        <w:tblW w:w="10205" w:type="dxa"/>
        <w:jc w:val="center"/>
        <w:tblInd w:w="0" w:type="dxa"/>
        <w:tblCellMar>
          <w:top w:w="28" w:type="dxa"/>
          <w:left w:w="28" w:type="dxa"/>
          <w:bottom w:w="28" w:type="dxa"/>
          <w:right w:w="28" w:type="dxa"/>
        </w:tblCellMar>
      </w:tblPr>
      <w:tblGrid>
        <w:gridCol w:w="2304"/>
        <w:gridCol w:w="1893"/>
        <w:gridCol w:w="1870"/>
        <w:gridCol w:w="211"/>
        <w:gridCol w:w="826"/>
        <w:gridCol w:w="109"/>
        <w:gridCol w:w="109"/>
        <w:gridCol w:w="109"/>
        <w:gridCol w:w="109"/>
        <w:gridCol w:w="211"/>
        <w:gridCol w:w="826"/>
        <w:gridCol w:w="109"/>
        <w:gridCol w:w="109"/>
        <w:gridCol w:w="109"/>
        <w:gridCol w:w="109"/>
        <w:gridCol w:w="211"/>
        <w:gridCol w:w="826"/>
        <w:gridCol w:w="155"/>
      </w:tblGrid>
      <w:tr>
        <w:trPr/>
        <w:tc>
          <w:tcPr>
            <w:tcW w:w="2304"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by Type</w:t>
            </w:r>
          </w:p>
        </w:tc>
      </w:tr>
      <w:tr>
        <w:trPr/>
        <w:tc>
          <w:tcPr>
            <w:tcW w:w="606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06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06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324,447 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Certificates of deposit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422,665 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94"/>
        <w:gridCol w:w="722"/>
        <w:gridCol w:w="65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310"/>
        <w:gridCol w:w="109"/>
        <w:gridCol w:w="109"/>
        <w:gridCol w:w="156"/>
      </w:tblGrid>
      <w:tr>
        <w:trPr/>
        <w:tc>
          <w:tcPr>
            <w:tcW w:w="119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 Securities by Maturity</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Within 1</w:t>
              <w:b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1 to 5</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5 to</w:t>
              <w:br/>
              <w:t>10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w:t>
              <w:br/>
              <w:t>10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Yield</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3"/>
              </w:rPr>
            </w:pPr>
            <w:r>
              <w:rPr>
                <w:rFonts w:ascii="Times New Roman;sans-serif" w:hAnsi="Times New Roman;sans-serif"/>
                <w:b/>
                <w:color w:val="000000"/>
                <w:sz w:val="13"/>
              </w:rPr>
              <w:t>(1)</w:t>
            </w:r>
          </w:p>
        </w:tc>
      </w:tr>
      <w:tr>
        <w:trPr/>
        <w:tc>
          <w:tcPr>
            <w:tcW w:w="2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122,329 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231,142 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295,771 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1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 average yield </w:t>
            </w:r>
            <w:r>
              <w:rPr>
                <w:rFonts w:ascii="Times New Roman;sans-serif" w:hAnsi="Times New Roman;sans-serif"/>
                <w:b/>
                <w:color w:val="000000"/>
                <w:sz w:val="13"/>
              </w:rPr>
              <w:t>(1)</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color w:val="000000"/>
          <w:sz w:val="13"/>
        </w:rPr>
        <w:t>(1)</w:t>
      </w:r>
      <w:r>
        <w:rPr>
          <w:rFonts w:ascii="Times New Roman;sans-serif" w:hAnsi="Times New Roman;sans-serif"/>
          <w:b w:val="false"/>
          <w:color w:val="000000"/>
          <w:sz w:val="20"/>
        </w:rPr>
        <w:t>Yields are presented on a tax-equivalent basis assuming a tax rate of 21% for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Deposits and Accounts and Drafts Payable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 increased 18% to $582,642,000 at December 31, 2021. Interest-bearing deposits increased $81,509,000, or 15%, to $638,861,000 at December 31, 2021. These balances increased considerably in 2021 as governmental stimulus programs and an increase in integrated payments activity boosted deposit balances.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generated by the Company in its payment processing operations increased $215,010,000, or 26%, to $1,050,396,000 at December 31, 2021. This increase was primarily the result of a significant increase in dollar volumes processed in transportation due to excess shipping miles in the freight network due to supply chain disruptions, fuel surcharges, and scarcity of carrier supply, among other factors. An increase in dollar volumes in expense management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driven by far fewer pandemic-related restrictions imposed on the restaurant, retail and hospitality sectors as compared to 2020 also contributed to the increase. Due to the Company’s payment processing cycle, average balances are much more indicative of the underlying activity than period-end balances since point-in-time comparisons can be misleading if the comparison dates fall on different days of the week. Average accounts and drafts payable increased $182,967,000, or 23% to $986,572,000 during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Maturities of Certificates of Deposit as of December 31, 2021</w:t>
      </w:r>
    </w:p>
    <w:tbl>
      <w:tblPr>
        <w:tblW w:w="7323" w:type="dxa"/>
        <w:jc w:val="center"/>
        <w:tblInd w:w="0" w:type="dxa"/>
        <w:tblCellMar>
          <w:top w:w="28" w:type="dxa"/>
          <w:left w:w="28" w:type="dxa"/>
          <w:bottom w:w="28" w:type="dxa"/>
          <w:right w:w="28" w:type="dxa"/>
        </w:tblCellMar>
      </w:tblPr>
      <w:tblGrid>
        <w:gridCol w:w="679"/>
        <w:gridCol w:w="597"/>
        <w:gridCol w:w="599"/>
        <w:gridCol w:w="267"/>
        <w:gridCol w:w="780"/>
        <w:gridCol w:w="138"/>
        <w:gridCol w:w="109"/>
        <w:gridCol w:w="109"/>
        <w:gridCol w:w="109"/>
        <w:gridCol w:w="234"/>
        <w:gridCol w:w="800"/>
        <w:gridCol w:w="121"/>
        <w:gridCol w:w="109"/>
        <w:gridCol w:w="109"/>
        <w:gridCol w:w="109"/>
        <w:gridCol w:w="211"/>
        <w:gridCol w:w="721"/>
        <w:gridCol w:w="109"/>
        <w:gridCol w:w="109"/>
        <w:gridCol w:w="109"/>
        <w:gridCol w:w="109"/>
        <w:gridCol w:w="211"/>
        <w:gridCol w:w="721"/>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 to Less</w:t>
              <w:br/>
              <w:t>Than $250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$250 or</w:t>
              <w:br/>
              <w:t>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or less </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Three to six months </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Six to twelve months </w:t>
            </w:r>
          </w:p>
        </w:tc>
        <w:tc>
          <w:tcPr>
            <w:tcW w:w="10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twelve months </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30,648 </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of liquid assets consist of cash and cash equivalents, which include cash and due from banks, interest-bearing deposits in other financial institutions, federal funds sold, and money market funds, totaled $514,928,000 at December 31, 2021, a decrease of $155,600,000, or 23%, from December 31, 2020. The decrease during 2021 is primarily attributed to the funds being used for purchases of available-for-sale investment securities. At December 31, 2021, cash and cash equivalents represented 20% of total assets and are the Company’s and its subsidiaries’ primary source of liquidity to meet future expected and unexpected loan demand, depositor withdrawals or reductions in accounts and drafts payable.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Secondary sources of liquidity include the investment portfolio and borrowing lines. Total investment securities available-for-sale at fair value were $673,453,000 at December 31, 2021, an increase of $315,727,000, or 88%, from December 31, 2020. Investment securities represented 26% of total assets at December 31, 2021. Of the total portfolio, 4% mature in one year or less, 18% mature after one year through five years and 78% mature after five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Bank had unsecured lines of credit at six correspondent banks to purchase federal funds up to a maximum of $83,000,000 in aggregate. As of December 31, 2021, the Bank had secured lines of credit with the Federal Home Loan Bank of $228,849,000 collateralized by commercial mortgage loans. At December 31, 2021, the Company had lines of credit from two banks up to a maximum of $150,000,000 in aggregate collateralized by state and political subdivision securities. There were no amounts outstanding at December 31, 2021, and 2020 under any of the lines of credit.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provided by operating activities for the years 2021, 2020 and 2019 were $34,547,000, $47,781,000, and $42,126,000,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2022. The Company anticipates the annual capital expenditures for 2022 should range from $8 million to $10 million. Capital expenditures in 2022 are expected to consist of equipment and software related to the payment and information processing services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opportunities are an important component of the Company’s strategy to grow earnings and improve performance. Generating new customers allows the Company to leverage existing systems and facilities and grow revenues faster than expenses. During 2021, new business was added in both the transportation and facility expense management operations, driven by both successful marketing efforts and the solid market leadership position held by Cass.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2021 as shown in Item 8, Note 2 of this report.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2021, cash dividends paid were $15,446,000, a decrease of $153,000, or 1%, compared to $15,599,000 in 2020. The decrease is attributable to the amount of shares repurchased, partially offset by the increase to the per-share amount paid during the fourth quarter of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equity was $245,798,000, or 10% of total assets, at December 31, 2021, a decrease of $15,362,000 as compared to December 31, 2020. The decrease was primarily a result of the repurchase of treasury shares of $30,997,000 and the payment of cash dividends of $15,446,000, partially offset by net income of $28,604,000.</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from the Bank are a source of funds for payment of dividends by the Company to its shareholders. The only restrictions on dividends are those dictated by regulatory capital requirements, state corporate laws and prudent and sound banking principles. During 2021, the Bank paid a dividend of $15,000,000 to the Company. As of December 31, 2021, unappropriated retained earnings of $34,976,000 were available at the Bank for the declaration of dividends to the Company without prior approval from regulatory authorities.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treasury stock buyback program approved by the Board of Directors in October 2021 pursuant to which the Board of Directors has authorized the repurchase of up to 750,000 shares of the Company’s common stock and has no expiration date. During the three months ended December 31, 2021, the Company repurchased a total of 278,919 shares of its common stock pursuant to its treasury stock buyback program. As such, 471,081 shares remain under the buyback program at December 31,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a total of 713,857 shares at an aggregate cost of $30,997,000 during the year ended December 31, 2021 and 162,901 shares at an aggregate cost of $6,825,000 during the year ended December 31, 2020. A portion of the repurchased shares may be used for the Company’s employee benefit plans, and the balance will be available for other general corporate purposes. The pace of future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Inflation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could have the impact of increasing our operating expenses, such as compensation expense. Inflationary pressures may also have an impact on total assets, earnings and capital, which could impact the Company's ability to grow. During 2021, supply chain disruption and inflation, among other factors, had the impact of increasing the average balance of accounts and drafts payable and total assets. An increase in total assets could have the impact of decreasing our regulatory capital ratios if earnings and total regulatory capital do not increase at the same rate. As a result of rising inflation, in December 2021, the Federal Reserve released projections related to the target range for the Federal Funds rate that imply varied increases in the rate over the next few years. There can be no assurance that any increases in the Federal Funds rate will occur, and the Company continues to monitor these developments.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Commitments, Contractual Obligations and Off-Balance Sheet Arrangements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2021, an allowance for unfunded commitments of $367,000 had been recorded. See Item 7, “Management’s Discussion and Analysis of Financial Condition and Results of Operations—Provision and Allowance for Credit Losses and Unfunded Commitments”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to extend credit are agreements to lend to a customer as long as there is no violation of any condition established in the contract. Commercial and standby letters of credit are commitments issued by the Company or its subsidiaries to guarantee the performance of a customer to a third party. These off-balance sheet financial instruments generally have fixed expiration dates or other termination clauses and may require payment of a fee. At December 31, 2021, the balance of loan commitments, standby and commercial letters of credit were $208,395,000, $12,859,000 and $771,000,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14 – Disclosures about Fair Value of Financial Instruments for more information.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made a contribution of $330,000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For 2021, these assumptions were as follows:</w:t>
      </w:r>
    </w:p>
    <w:tbl>
      <w:tblPr>
        <w:tblW w:w="4473" w:type="dxa"/>
        <w:jc w:val="left"/>
        <w:tblInd w:w="0" w:type="dxa"/>
        <w:tblCellMar>
          <w:top w:w="28" w:type="dxa"/>
          <w:left w:w="28" w:type="dxa"/>
          <w:bottom w:w="28" w:type="dxa"/>
          <w:right w:w="28" w:type="dxa"/>
        </w:tblCellMar>
      </w:tblPr>
      <w:tblGrid>
        <w:gridCol w:w="1308"/>
        <w:gridCol w:w="1152"/>
        <w:gridCol w:w="1155"/>
        <w:gridCol w:w="255"/>
        <w:gridCol w:w="256"/>
        <w:gridCol w:w="347"/>
      </w:tblGrid>
      <w:tr>
        <w:trPr/>
        <w:tc>
          <w:tcPr>
            <w:tcW w:w="1308"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Assumption</w:t>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Rate </w:t>
            </w:r>
          </w:p>
        </w:tc>
      </w:tr>
      <w:tr>
        <w:trPr/>
        <w:tc>
          <w:tcPr>
            <w:tcW w:w="361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discount rate </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increase in compensation levels </w:t>
            </w:r>
          </w:p>
        </w:tc>
        <w:tc>
          <w:tcPr>
            <w:tcW w:w="8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(a) </w:t>
            </w:r>
          </w:p>
        </w:tc>
      </w:tr>
      <w:tr>
        <w:trPr/>
        <w:tc>
          <w:tcPr>
            <w:tcW w:w="361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long-term rate of return on assets </w:t>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47"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6.00% graded down to 3.25% over the first seven years of service.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7A. </w:t>
      </w:r>
      <w:r>
        <w:rPr>
          <w:rFonts w:ascii="Times New Roman;sans-serif" w:hAnsi="Times New Roman;sans-serif"/>
          <w:b/>
          <w:color w:val="000000"/>
          <w:sz w:val="20"/>
          <w:u w:val="single"/>
        </w:rPr>
        <w:t>QUANTITATIVE AND QUALITATIVE DISCLOSURES ABOUT MARKET RISK</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faces market risk to the extent that its net interest income is affected by changes in market interest rates. The asset/liability management discipline as applied by the Company seeks to limit the volatility, to the extent possible, that can result from changes in market interest rates. This is accomplished by limiting the concentration of maturities of fixed rate investments, loans, and deposits; matching fixed rate assets and liabilities to the extent possible; and optimizing the mix of fees and net interest income. However the Company's asset/liability position often differs from other financial holding companies with positive cumulative "gaps." This asset sensitive position is caused primarily by the operations of the Company, which generate large balances of accounts and drafts payable. These balances, which are noninterest bearing, can cause the Company to become susceptible to changes in interest rates, with a decreasing net interest margin in periods of declining interest rates, like the Company is currently experiencing, and an increasing net interest margin in periods of rising interest rates.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ALCO measures the Company's interest rate risk sensitivity on a quarterly basis to monitor and manage the variability of earnings in various interest rate environments. The ALCO evaluates the Company's risk position to determine whether the level of exposure is significant enough to hedge a potential decline in earnings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Another measurement tool used by management is net interest income simulation, which forecasts net interest income during the coming 12 months under different interest rate scenarios.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2021, from an immediate and sustained parallel change in interest rates in three varying scenarios is shown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equity under different rate scenarios gives insight into the magnitude of risk to future earnings due to rate changes. Management has set policy limits relating to declines in the market value of equity.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illustrates the projected impact of interest rate shocks on net interest income as of December 31, 2021:</w:t>
      </w:r>
    </w:p>
    <w:tbl>
      <w:tblPr>
        <w:tblW w:w="5441" w:type="dxa"/>
        <w:jc w:val="center"/>
        <w:tblInd w:w="0" w:type="dxa"/>
        <w:tblCellMar>
          <w:top w:w="28" w:type="dxa"/>
          <w:left w:w="28" w:type="dxa"/>
          <w:bottom w:w="28" w:type="dxa"/>
          <w:right w:w="28" w:type="dxa"/>
        </w:tblCellMar>
      </w:tblPr>
      <w:tblGrid>
        <w:gridCol w:w="786"/>
        <w:gridCol w:w="693"/>
        <w:gridCol w:w="695"/>
        <w:gridCol w:w="109"/>
        <w:gridCol w:w="109"/>
        <w:gridCol w:w="109"/>
        <w:gridCol w:w="860"/>
        <w:gridCol w:w="860"/>
        <w:gridCol w:w="1220"/>
      </w:tblGrid>
      <w:tr>
        <w:trPr/>
        <w:tc>
          <w:tcPr>
            <w:tcW w:w="78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Interest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 in Net Interest Income</w:t>
            </w:r>
          </w:p>
        </w:tc>
      </w:tr>
      <w:tr>
        <w:trPr/>
        <w:tc>
          <w:tcPr>
            <w:tcW w:w="217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+200 basis points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basis points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174"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basis points </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940"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 xml:space="preserve">ITEM 8. </w:t>
      </w:r>
      <w:r>
        <w:rPr>
          <w:rFonts w:ascii="Times New Roman;sans-serif" w:hAnsi="Times New Roman;sans-serif"/>
          <w:b/>
          <w:color w:val="000000"/>
          <w:sz w:val="20"/>
          <w:u w:val="single"/>
        </w:rPr>
        <w:t>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CellMar>
          <w:top w:w="28" w:type="dxa"/>
          <w:left w:w="28" w:type="dxa"/>
          <w:bottom w:w="28" w:type="dxa"/>
          <w:right w:w="28" w:type="dxa"/>
        </w:tblCellMar>
      </w:tblPr>
      <w:tblGrid>
        <w:gridCol w:w="2954"/>
        <w:gridCol w:w="2140"/>
        <w:gridCol w:w="2146"/>
        <w:gridCol w:w="211"/>
        <w:gridCol w:w="976"/>
        <w:gridCol w:w="109"/>
        <w:gridCol w:w="109"/>
        <w:gridCol w:w="109"/>
        <w:gridCol w:w="109"/>
        <w:gridCol w:w="211"/>
        <w:gridCol w:w="976"/>
        <w:gridCol w:w="155"/>
      </w:tblGrid>
      <w:tr>
        <w:trPr/>
        <w:tc>
          <w:tcPr>
            <w:tcW w:w="2954"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72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due from banks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502,627 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639,543 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available-for-sale, at fair value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allowance for credit losses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net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879,732 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in advance of funding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net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bank-owned life insurance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46,886 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w:t>
            </w:r>
          </w:p>
        </w:tc>
        <w:tc>
          <w:tcPr>
            <w:tcW w:w="12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Noninterest-bearing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493,504 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Interest-bearing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deposits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1,050,856 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55,833 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1,942,075 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Equity: </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par value $.50 per share; 2,000,000 shares authorized and no shares issued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$.50 per share; 40,000,000 shares authorized; 15,505,772 shares issued at December 31, 2021 and 2020; 13,734,295 and 14,392,669 shares outstanding at December 31, 2021 and 2020, respectively.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paid-in capital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204,875 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in treasury, at cost (1,771,477 and 1,113,103 shares at December 31, 2021 and 2020, respectively)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(50,515)</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shareholders’ equity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261,160 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shareholders’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2,203,235 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9237" w:type="dxa"/>
        <w:jc w:val="center"/>
        <w:tblInd w:w="0" w:type="dxa"/>
        <w:tblCellMar>
          <w:top w:w="28" w:type="dxa"/>
          <w:left w:w="28" w:type="dxa"/>
          <w:bottom w:w="28" w:type="dxa"/>
          <w:right w:w="28" w:type="dxa"/>
        </w:tblCellMar>
      </w:tblPr>
      <w:tblGrid>
        <w:gridCol w:w="1885"/>
        <w:gridCol w:w="1658"/>
        <w:gridCol w:w="1662"/>
        <w:gridCol w:w="211"/>
        <w:gridCol w:w="826"/>
        <w:gridCol w:w="109"/>
        <w:gridCol w:w="109"/>
        <w:gridCol w:w="109"/>
        <w:gridCol w:w="109"/>
        <w:gridCol w:w="211"/>
        <w:gridCol w:w="721"/>
        <w:gridCol w:w="109"/>
        <w:gridCol w:w="109"/>
        <w:gridCol w:w="109"/>
        <w:gridCol w:w="109"/>
        <w:gridCol w:w="211"/>
        <w:gridCol w:w="826"/>
        <w:gridCol w:w="154"/>
      </w:tblGrid>
      <w:tr>
        <w:trPr/>
        <w:tc>
          <w:tcPr>
            <w:tcW w:w="1885"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2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 Revenue and Other Income:</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services payment and processing revenue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service fees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on sales of securities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fee revenue and other income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fees on loans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dividends on securities: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Exempt from federal income taxes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federal funds sold and other short-term investments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income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deposits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short-term borrowings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(Release of) provision for credit losses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after (release of) provision for credit losses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Personnel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Occupancy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 expense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8982" w:type="dxa"/>
        <w:jc w:val="center"/>
        <w:tblInd w:w="0" w:type="dxa"/>
        <w:tblCellMar>
          <w:top w:w="28" w:type="dxa"/>
          <w:left w:w="28" w:type="dxa"/>
          <w:bottom w:w="28" w:type="dxa"/>
          <w:right w:w="28" w:type="dxa"/>
        </w:tblCellMar>
      </w:tblPr>
      <w:tblGrid>
        <w:gridCol w:w="1865"/>
        <w:gridCol w:w="1640"/>
        <w:gridCol w:w="1655"/>
        <w:gridCol w:w="211"/>
        <w:gridCol w:w="721"/>
        <w:gridCol w:w="109"/>
        <w:gridCol w:w="109"/>
        <w:gridCol w:w="109"/>
        <w:gridCol w:w="109"/>
        <w:gridCol w:w="211"/>
        <w:gridCol w:w="721"/>
        <w:gridCol w:w="109"/>
        <w:gridCol w:w="109"/>
        <w:gridCol w:w="109"/>
        <w:gridCol w:w="109"/>
        <w:gridCol w:w="211"/>
        <w:gridCol w:w="721"/>
        <w:gridCol w:w="154"/>
      </w:tblGrid>
      <w:tr>
        <w:trPr/>
        <w:tc>
          <w:tcPr>
            <w:tcW w:w="1865"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16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w:t>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(loss) gain on securities available-for-sale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54" w:type="dxa"/>
            <w:tcBorders/>
            <w:shd w:fill="DBDBDB"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adjustments for gains included in net income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FASB ASC 715 pension adjustment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CellMar>
          <w:top w:w="28" w:type="dxa"/>
          <w:left w:w="28" w:type="dxa"/>
          <w:bottom w:w="28" w:type="dxa"/>
          <w:right w:w="28" w:type="dxa"/>
        </w:tblCellMar>
      </w:tblPr>
      <w:tblGrid>
        <w:gridCol w:w="2262"/>
        <w:gridCol w:w="1900"/>
        <w:gridCol w:w="1905"/>
        <w:gridCol w:w="211"/>
        <w:gridCol w:w="826"/>
        <w:gridCol w:w="109"/>
        <w:gridCol w:w="109"/>
        <w:gridCol w:w="109"/>
        <w:gridCol w:w="109"/>
        <w:gridCol w:w="211"/>
        <w:gridCol w:w="826"/>
        <w:gridCol w:w="109"/>
        <w:gridCol w:w="109"/>
        <w:gridCol w:w="109"/>
        <w:gridCol w:w="109"/>
        <w:gridCol w:w="211"/>
        <w:gridCol w:w="826"/>
        <w:gridCol w:w="155"/>
      </w:tblGrid>
      <w:tr>
        <w:trPr/>
        <w:tc>
          <w:tcPr>
            <w:tcW w:w="2262"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06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reconcile net income to net cash provided by operating activities: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premium/discount on investment securities</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on sales of securities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(Release of) provision for credit losses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(benefit) expense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(decrease) in current income tax liability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increase in pension liability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decrease in accounts receivable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activities, net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sales of securities available-for-sale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available-for-sale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21,502 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available-for-sale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in loans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(50,970)</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bank-owned life insurance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decrease in payments in advance of funding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(45,381)</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premises and equipment, net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acquisition of Gateway Giving, LLC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in noninterest-bearing demand deposits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37,833 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interest-bearing demand and savings deposits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time deposits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accounts and drafts payable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short-term borrowings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paid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common shares for treasury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and cash equivalents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beginning of year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230,933 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information: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CASS INFORMATION SYSTEMS,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0205" w:type="dxa"/>
        <w:jc w:val="center"/>
        <w:tblInd w:w="0" w:type="dxa"/>
        <w:tblCellMar>
          <w:top w:w="28" w:type="dxa"/>
          <w:left w:w="28" w:type="dxa"/>
          <w:bottom w:w="28" w:type="dxa"/>
          <w:right w:w="28" w:type="dxa"/>
        </w:tblCellMar>
      </w:tblPr>
      <w:tblGrid>
        <w:gridCol w:w="837"/>
        <w:gridCol w:w="413"/>
        <w:gridCol w:w="414"/>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39"/>
        <w:gridCol w:w="109"/>
        <w:gridCol w:w="109"/>
        <w:gridCol w:w="109"/>
        <w:gridCol w:w="109"/>
        <w:gridCol w:w="284"/>
        <w:gridCol w:w="993"/>
        <w:gridCol w:w="149"/>
        <w:gridCol w:w="109"/>
        <w:gridCol w:w="109"/>
        <w:gridCol w:w="109"/>
        <w:gridCol w:w="211"/>
        <w:gridCol w:w="826"/>
        <w:gridCol w:w="156"/>
      </w:tblGrid>
      <w:tr>
        <w:trPr/>
        <w:tc>
          <w:tcPr>
            <w:tcW w:w="83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2018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w:t>
            </w:r>
          </w:p>
        </w:tc>
        <w:tc>
          <w:tcPr>
            <w:tcW w:w="1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229,848 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($1.05 per share)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34,810 common shares pursuant to stock-based compensation plan, net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6" w:type="dxa"/>
            <w:tcBorders/>
            <w:shd w:fill="DBDBDB"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 of SARs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154,593 common shares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2019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Cumulative effect of accounting change (ASU 2016-13), net of tax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January 1, 2020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243,334 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($1.08 per share)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72,448 common shares pursuant to stock-based compensation plan, net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 of SARs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6" w:type="dxa"/>
            <w:tcBorders/>
            <w:shd w:fill="DBDBDB"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162,901 common shares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w:t>
            </w:r>
          </w:p>
        </w:tc>
        <w:tc>
          <w:tcPr>
            <w:tcW w:w="156" w:type="dxa"/>
            <w:tcBorders/>
            <w:shd w:fill="DBDBDB"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2020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261,160 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($1.09 per share)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85,056 common shares pursuant to stock-based compensation plan, net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6" w:type="dxa"/>
            <w:tcBorders/>
            <w:shd w:fill="DBDBDB"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 of SARs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713,857 common shares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(30,997)</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2021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Summary of Significant Accounting Policies</w:t>
      </w:r>
    </w:p>
    <w:p>
      <w:pPr>
        <w:pStyle w:val="TextBody"/>
        <w:spacing w:lineRule="auto" w:line="288" w:before="240" w:after="283"/>
        <w:jc w:val="both"/>
        <w:rPr/>
      </w:pPr>
      <w:r>
        <w:rPr>
          <w:rFonts w:ascii="Times New Roman;sans-serif" w:hAnsi="Times New Roman;sans-serif"/>
          <w:b/>
          <w:i/>
          <w:color w:val="000000"/>
          <w:sz w:val="20"/>
        </w:rPr>
        <w:t>Summary of Operations</w:t>
      </w:r>
      <w:r>
        <w:rPr>
          <w:color w:val="000000"/>
        </w:rPr>
        <w:t xml:space="preserve"> </w:t>
      </w:r>
      <w:r>
        <w:rPr>
          <w:rFonts w:ascii="Times New Roman;sans-serif" w:hAnsi="Times New Roman;sans-serif"/>
          <w:b w:val="false"/>
          <w:color w:val="000000"/>
          <w:sz w:val="20"/>
        </w:rPr>
        <w:t xml:space="preserve">The Company provides payment and information services, which include processing and payment of transportation, energy, telecommunications and environmental invoices. 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 </w:t>
      </w:r>
    </w:p>
    <w:p>
      <w:pPr>
        <w:pStyle w:val="TextBody"/>
        <w:spacing w:lineRule="auto" w:line="288" w:before="240" w:after="283"/>
        <w:jc w:val="both"/>
        <w:rPr/>
      </w:pPr>
      <w:r>
        <w:rPr>
          <w:rFonts w:ascii="Times New Roman;sans-serif" w:hAnsi="Times New Roman;sans-serif"/>
          <w:b/>
          <w:i/>
          <w:color w:val="000000"/>
          <w:sz w:val="20"/>
        </w:rPr>
        <w:t>Basis of Presentation</w:t>
      </w:r>
      <w:r>
        <w:rPr>
          <w:color w:val="000000"/>
        </w:rPr>
        <w:t xml:space="preserve"> </w:t>
      </w:r>
      <w:r>
        <w:rPr>
          <w:rFonts w:ascii="Times New Roman;sans-serif" w:hAnsi="Times New Roman;sans-serif"/>
          <w:b w:val="false"/>
          <w:color w:val="000000"/>
          <w:sz w:val="20"/>
        </w:rPr>
        <w:t xml:space="preserve">The accounting and reporting policies of the Company and its subsidiaries conform to U.S. GAAP. The consolidated financial statements include the accounts of the Company and its wholly owned subsidiaries after elimination of intercompany transactions. Certain amounts in the 2020 and 2019 consolidated financial statements have been reclassified to conform to the 2021 presentation. Such reclassifications have no effect on previously reported net income or shareholders’ equity. </w:t>
      </w:r>
    </w:p>
    <w:p>
      <w:pPr>
        <w:pStyle w:val="TextBody"/>
        <w:spacing w:lineRule="auto" w:line="288" w:before="240" w:after="283"/>
        <w:jc w:val="both"/>
        <w:rPr/>
      </w:pPr>
      <w:r>
        <w:rPr>
          <w:rFonts w:ascii="Times New Roman;sans-serif" w:hAnsi="Times New Roman;sans-serif"/>
          <w:b/>
          <w:i/>
          <w:color w:val="000000"/>
          <w:sz w:val="20"/>
        </w:rPr>
        <w:t>Use of Estimates</w:t>
      </w:r>
      <w:r>
        <w:rPr>
          <w:color w:val="000000"/>
        </w:rPr>
        <w:t xml:space="preserve"> </w:t>
      </w:r>
      <w:r>
        <w:rPr>
          <w:rFonts w:ascii="Times New Roman;sans-serif" w:hAnsi="Times New Roman;sans-serif"/>
          <w:b w:val="false"/>
          <w:color w:val="000000"/>
          <w:sz w:val="20"/>
        </w:rPr>
        <w:t xml:space="preserve">In preparing the consolidated financial statements, Company management is required to make estimates and assumptions which significantly affect the reported amounts in the consolidated financial statements. </w:t>
      </w:r>
    </w:p>
    <w:p>
      <w:pPr>
        <w:pStyle w:val="TextBody"/>
        <w:spacing w:lineRule="auto" w:line="288" w:before="240" w:after="283"/>
        <w:jc w:val="both"/>
        <w:rPr/>
      </w:pPr>
      <w:r>
        <w:rPr>
          <w:rFonts w:ascii="Times New Roman;sans-serif" w:hAnsi="Times New Roman;sans-serif"/>
          <w:b/>
          <w:i/>
          <w:color w:val="000000"/>
          <w:sz w:val="20"/>
        </w:rPr>
        <w:t>Cash and Cash Equivalents</w:t>
      </w:r>
      <w:r>
        <w:rPr>
          <w:color w:val="000000"/>
        </w:rPr>
        <w:t xml:space="preserve"> </w:t>
      </w:r>
      <w:r>
        <w:rPr>
          <w:rFonts w:ascii="Times New Roman;sans-serif" w:hAnsi="Times New Roman;sans-serif"/>
          <w:b w:val="false"/>
          <w:color w:val="000000"/>
          <w:sz w:val="20"/>
        </w:rPr>
        <w:t xml:space="preserve">For purposes of the consolidated statements of cash flows, the Company considers cash and due from banks, interest-bearing deposits in other financial institutions, and federal funds sold and other short-term investments to be cash and cash equivalents. </w:t>
      </w:r>
    </w:p>
    <w:p>
      <w:pPr>
        <w:pStyle w:val="TextBody"/>
        <w:spacing w:lineRule="auto" w:line="288" w:before="240" w:after="283"/>
        <w:jc w:val="both"/>
        <w:rPr/>
      </w:pPr>
      <w:r>
        <w:rPr>
          <w:rFonts w:ascii="Times New Roman;sans-serif" w:hAnsi="Times New Roman;sans-serif"/>
          <w:b/>
          <w:i/>
          <w:color w:val="000000"/>
          <w:sz w:val="20"/>
        </w:rPr>
        <w:t>Investment in Debt Securities</w:t>
      </w:r>
      <w:r>
        <w:rPr>
          <w:color w:val="000000"/>
        </w:rPr>
        <w:t xml:space="preserve"> </w:t>
      </w:r>
      <w:r>
        <w:rPr>
          <w:rFonts w:ascii="Times New Roman;sans-serif" w:hAnsi="Times New Roman;sans-serif"/>
          <w:b w:val="false"/>
          <w:color w:val="000000"/>
          <w:sz w:val="20"/>
        </w:rPr>
        <w:t xml:space="preserve">The Company classifies its investment securities as available-for-sale. Securities classified as available-for-sale are carried at fair value. Unrealized gains and losses, 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 for sale investment securities in an unrealized loss position, the entire loss in fair value is required to be recognized in current earnings if the Company intends to sell the securities or believes it likely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allowance for credit losses would be recorded as a provision for credit losses on the consolidated statements of income. Losses would be charged against the allowance for credit losses on securities when management believes the uncollectibility of an available-for-sale security is confirmed or when either of the conditions regarding intent or requirement to sell is met. </w:t>
      </w:r>
    </w:p>
    <w:p>
      <w:pPr>
        <w:pStyle w:val="TextBody"/>
        <w:spacing w:lineRule="auto" w:line="288" w:before="240" w:after="283"/>
        <w:jc w:val="both"/>
        <w:rPr/>
      </w:pPr>
      <w:r>
        <w:rPr>
          <w:rFonts w:ascii="Times New Roman;sans-serif" w:hAnsi="Times New Roman;sans-serif"/>
          <w:b w:val="false"/>
          <w:color w:val="000000"/>
          <w:sz w:val="20"/>
        </w:rPr>
        <w:t xml:space="preserve">Prior to the adoption of Accounting Standards Update ("ASU") 2016-13,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 xml:space="preserve">("ASU 2016-13") as of January 1, 2020, the Company evaluated a decline in the fair value of any available-for-sale security below cost to determine whether the decline was deemed other than temporary and, if so, would result in a charge to earnings and the establishment of a new cost basis for the security. To determine whether impairment was other than temporary, the Company considered guidance provided in the FASB ASC Topic 320, </w:t>
      </w:r>
      <w:r>
        <w:rPr>
          <w:rFonts w:ascii="Times New Roman;sans-serif" w:hAnsi="Times New Roman;sans-serif"/>
          <w:b w:val="false"/>
          <w:i/>
          <w:color w:val="000000"/>
          <w:sz w:val="20"/>
        </w:rPr>
        <w:t>Investments – Debt and Equity Securities</w:t>
      </w:r>
      <w:r>
        <w:rPr>
          <w:rFonts w:ascii="Times New Roman;sans-serif" w:hAnsi="Times New Roman;sans-serif"/>
          <w:b w:val="false"/>
          <w:color w:val="000000"/>
          <w:sz w:val="20"/>
        </w:rPr>
        <w:t xml:space="preserve">. When determining whether a debt security was other-than-temporarily impaired, the Company assessed whether it had the intent to sell the security and whether it was more likely than not that the Company would be required to sell prior to recovery of the amortized cost basis. Evidence considered in this assessment included the reasons for impairment, the severity and duration of the impairment, changes in value subsequent to year-end and forecasted performance of the investee.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and discounts are amortized or accreted to interest income over the expected lives of the respective securities using the level-yield method. Interest income is recognized when earned. Gains and losses are calculated using the specific identification method. </w:t>
      </w:r>
    </w:p>
    <w:p>
      <w:pPr>
        <w:pStyle w:val="TextBody"/>
        <w:spacing w:lineRule="auto" w:line="288" w:before="240" w:after="283"/>
        <w:jc w:val="both"/>
        <w:rPr/>
      </w:pPr>
      <w:r>
        <w:rPr>
          <w:rFonts w:ascii="Times New Roman;sans-serif" w:hAnsi="Times New Roman;sans-serif"/>
          <w:b/>
          <w:i/>
          <w:color w:val="000000"/>
          <w:sz w:val="20"/>
        </w:rPr>
        <w:t>Loans</w:t>
      </w:r>
      <w:r>
        <w:rPr>
          <w:color w:val="000000"/>
        </w:rPr>
        <w:t xml:space="preserve"> </w:t>
      </w:r>
      <w:r>
        <w:rPr>
          <w:rFonts w:ascii="Times New Roman;sans-serif" w:hAnsi="Times New Roman;sans-serif"/>
          <w:b w:val="false"/>
          <w:color w:val="000000"/>
          <w:sz w:val="20"/>
        </w:rPr>
        <w:t xml:space="preserve">Interest on loans is recognized based upon the principal amounts outstanding. It is the Company’s policy to discontinue the accrual of interest when 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 </w:t>
      </w:r>
    </w:p>
    <w:p>
      <w:pPr>
        <w:pStyle w:val="TextBody"/>
        <w:spacing w:lineRule="auto" w:line="288" w:before="240" w:after="283"/>
        <w:jc w:val="both"/>
        <w:rPr/>
      </w:pPr>
      <w:r>
        <w:rPr>
          <w:rFonts w:ascii="Times New Roman;sans-serif" w:hAnsi="Times New Roman;sans-serif"/>
          <w:b/>
          <w:i/>
          <w:color w:val="000000"/>
          <w:sz w:val="20"/>
        </w:rPr>
        <w:t>Allowance for Credit Losses</w:t>
      </w:r>
      <w:r>
        <w:rPr>
          <w:color w:val="000000"/>
        </w:rPr>
        <w:t xml:space="preserve"> </w:t>
      </w:r>
      <w:r>
        <w:rPr>
          <w:rFonts w:ascii="Times New Roman;sans-serif" w:hAnsi="Times New Roman;sans-serif"/>
          <w:b w:val="false"/>
          <w:color w:val="000000"/>
          <w:sz w:val="20"/>
        </w:rPr>
        <w:t xml:space="preserve">The ACL is increased by provisions charged to expense and is available to absorb charge-offs, net of recoveries. Management utilizes a systematic, documented approach in determining the appropriate level of the ACL. Management’s approach provides for estimated current expected credit losses on loans in accordance with ASU 2016-13. These estimates are based upon a number of factors, such as payment history, financial condition of the borrower, expected future cash flows and collateral exposure.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lending management experience, concentration risk, asset quality trends, borrower’s ability to pay, collateral, and other environmental factors. It is difficult to estimate how potential changes in any one economic factor or input might affect the overall ACL because a wide variety of factors and inputs are considered in estimating the allowance and changes in those factors and inputs considered may not occur at the same rate and may not be consistent across all loan types. Additionally, changes in factors and inputs may be directionally inconsistent, such that improvement in one factor may offset deterioration in others. The ACL is measured on a collective pool basis when similar risk characteristics exist. Management believes the ACL is adequate to absorb expected losses in the loan portfolio.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Loans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portfolio segments: </w:t>
      </w:r>
    </w:p>
    <w:p>
      <w:pPr>
        <w:pStyle w:val="TextBody"/>
        <w:spacing w:lineRule="auto" w:line="288" w:before="240" w:after="283"/>
        <w:jc w:val="both"/>
        <w:rPr/>
      </w:pPr>
      <w:r>
        <w:rPr>
          <w:rFonts w:ascii="Times New Roman;sans-serif" w:hAnsi="Times New Roman;sans-serif"/>
          <w:b w:val="false"/>
          <w:i/>
          <w:color w:val="000000"/>
          <w:sz w:val="20"/>
        </w:rPr>
        <w:t>Commercial &amp; Industrial (“C&amp;I”)</w:t>
      </w:r>
      <w:r>
        <w:rPr>
          <w:color w:val="000000"/>
        </w:rPr>
        <w:t xml:space="preserve"> – </w:t>
      </w:r>
      <w:r>
        <w:rPr>
          <w:rFonts w:ascii="Times New Roman;sans-serif" w:hAnsi="Times New Roman;sans-serif"/>
          <w:b w:val="false"/>
          <w:color w:val="000000"/>
          <w:sz w:val="20"/>
        </w:rPr>
        <w:t xml:space="preserve">C&amp;I loans consist of loans to small and medium-sized businesses in a wide variety of industries, franchise lending, and equipment financing to companies of all 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 </w:t>
      </w:r>
    </w:p>
    <w:p>
      <w:pPr>
        <w:pStyle w:val="TextBody"/>
        <w:spacing w:lineRule="auto" w:line="288" w:before="240" w:after="283"/>
        <w:jc w:val="both"/>
        <w:rPr/>
      </w:pPr>
      <w:r>
        <w:rPr>
          <w:rFonts w:ascii="Times New Roman;sans-serif" w:hAnsi="Times New Roman;sans-serif"/>
          <w:b w:val="false"/>
          <w:i/>
          <w:color w:val="000000"/>
          <w:sz w:val="20"/>
        </w:rPr>
        <w:t>Commercial Real Estate (“CRE”)</w:t>
      </w:r>
      <w:r>
        <w:rPr>
          <w:color w:val="000000"/>
        </w:rPr>
        <w:t xml:space="preserve"> – </w:t>
      </w:r>
      <w:r>
        <w:rPr>
          <w:rFonts w:ascii="Times New Roman;sans-serif" w:hAnsi="Times New Roman;sans-serif"/>
          <w:b w:val="false"/>
          <w:color w:val="000000"/>
          <w:sz w:val="20"/>
        </w:rPr>
        <w:t xml:space="preserve">CRE loans include various types of loans for which the Company holds real property as collateral. Commercial real estate lending activity is typically restricted to owner-occupied properties or to investor properties that are owned by customers with a current banking relationship. The primary risks of CRE loans include the borrower’s inability to pay and material decreases in the value of the real estate being held as collateral. </w:t>
      </w:r>
    </w:p>
    <w:p>
      <w:pPr>
        <w:pStyle w:val="TextBody"/>
        <w:spacing w:lineRule="auto" w:line="288" w:before="240" w:after="283"/>
        <w:jc w:val="both"/>
        <w:rPr/>
      </w:pPr>
      <w:r>
        <w:rPr>
          <w:rFonts w:ascii="Times New Roman;sans-serif" w:hAnsi="Times New Roman;sans-serif"/>
          <w:b w:val="false"/>
          <w:i/>
          <w:color w:val="000000"/>
          <w:sz w:val="20"/>
        </w:rPr>
        <w:t>Faith-based CRE</w:t>
      </w:r>
      <w:r>
        <w:rPr>
          <w:color w:val="000000"/>
        </w:rPr>
        <w:t xml:space="preserve"> – </w:t>
      </w:r>
      <w:r>
        <w:rPr>
          <w:rFonts w:ascii="Times New Roman;sans-serif" w:hAnsi="Times New Roman;sans-serif"/>
          <w:b w:val="false"/>
          <w:color w:val="000000"/>
          <w:sz w:val="20"/>
        </w:rPr>
        <w:t xml:space="preserve">Faith-based CRE loans include loans to faith-based ministries for which the Company holds real property as collateral. The primary risks of faith-based CRE loans include the borrower’s inability to pay and material decreases in the value of the real estate being held as collateral. </w:t>
      </w:r>
    </w:p>
    <w:p>
      <w:pPr>
        <w:pStyle w:val="TextBody"/>
        <w:spacing w:lineRule="auto" w:line="288" w:before="240" w:after="283"/>
        <w:jc w:val="both"/>
        <w:rPr/>
      </w:pPr>
      <w:r>
        <w:rPr>
          <w:rFonts w:ascii="Times New Roman;sans-serif" w:hAnsi="Times New Roman;sans-serif"/>
          <w:b w:val="false"/>
          <w:i/>
          <w:color w:val="000000"/>
          <w:sz w:val="20"/>
        </w:rPr>
        <w:t>Construction and Land Development</w:t>
      </w:r>
      <w:r>
        <w:rPr>
          <w:color w:val="000000"/>
        </w:rPr>
        <w:t xml:space="preserve"> – </w:t>
      </w:r>
      <w:r>
        <w:rPr>
          <w:rFonts w:ascii="Times New Roman;sans-serif" w:hAnsi="Times New Roman;sans-serif"/>
          <w:b w:val="false"/>
          <w:color w:val="000000"/>
          <w:sz w:val="20"/>
        </w:rPr>
        <w:t xml:space="preserve">The Company originates loans to finance construction projects including faith-based and commercial projects. Construction loans are generally collateralized by first liens on the real estate and have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is calculated as the difference between the amortized cost basis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beyond the reasonable and supportable forecast period, loss rates are reverted immediately to the Company’s long-run historical averages, as this represents a unique loan segment to the peer portfolios. The economic forecast is based on management’s assessment of the length and pattern of the current economic cycle. The resulting annual charge off rate determined for each year in the WARM model is applied to the loan balances estimated in the attrition analysis.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accounts for the inherent uncertainty of the underlying economic forecast by reviewing forecast scenarios. Additionally, the ACL calculation includes subjective adjustments for qualitative risk factors that are likely to cause estimated credit losses to differ from historical experience. These qualitative adjustments may increase or reduce reserve levels and include adjustments for lending management experience and risk tolerance, value of underlying collateral,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2016-13 as of January 1, 2020, the Company determined reserves for losses on the loan portfolio in the allowance for loan losses ("ALLL"). The ALLL was increased by provisions charged to expense and was available to absorb charge-offs, net of recoveries. Management utilized a systematic, documented approach in determining the appropriate level of the ALLL. Management’s approach provided for estimated credit losses on individually evaluated loans in accordance with FASB ASC 310, Allowance for Credit Losses (“ASC 310”). These estimates were based upon a number of factors, such as payment history, financial condition of the borrower, expected future cash flows and discounted collateral exposure.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Unfunded loan commitments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is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 </w:t>
      </w:r>
    </w:p>
    <w:p>
      <w:pPr>
        <w:pStyle w:val="TextBody"/>
        <w:spacing w:lineRule="auto" w:line="288" w:before="240" w:after="283"/>
        <w:jc w:val="both"/>
        <w:rPr/>
      </w:pPr>
      <w:r>
        <w:rPr>
          <w:rFonts w:ascii="Times New Roman;sans-serif" w:hAnsi="Times New Roman;sans-serif"/>
          <w:b/>
          <w:i/>
          <w:color w:val="000000"/>
          <w:sz w:val="20"/>
        </w:rPr>
        <w:t>Individually Evaluated Loans</w:t>
      </w:r>
      <w:r>
        <w:rPr>
          <w:color w:val="000000"/>
        </w:rPr>
        <w:t xml:space="preserve"> </w:t>
      </w:r>
      <w:r>
        <w:rPr>
          <w:rFonts w:ascii="Times New Roman;sans-serif" w:hAnsi="Times New Roman;sans-serif"/>
          <w:b w:val="false"/>
          <w:color w:val="000000"/>
          <w:sz w:val="20"/>
        </w:rPr>
        <w:t xml:space="preserve">A loan is considered individually evaluated when it is probable that a creditor will be unable to collect all amounts due, both principal and interest, according to the contractual terms of the loan agreement. Individually evaluated loans are generally measured based on the expected future cash flows and discounted at the loan's effective interest rate. Alternatively, reference to an observable market price could be used to individually evaluate loans, if one exists, or the fair value of the collateral for a collateral-dependent loan. Regardless of the historical measurement method used, the Company measures individually evaluated loans based on the fair value of the collateral when the Company determines foreclosure is probable. Additionally, troubled debt restructurings are measured by discounting the total expected future cash flows at the loan's effective rate of interest as stated in the original loan agreement. The Company uses its methods as discussed above for recognizing interest on individually evaluated loans. </w:t>
      </w:r>
    </w:p>
    <w:p>
      <w:pPr>
        <w:pStyle w:val="TextBody"/>
        <w:spacing w:lineRule="auto" w:line="288" w:before="240" w:after="283"/>
        <w:jc w:val="both"/>
        <w:rPr/>
      </w:pPr>
      <w:r>
        <w:rPr>
          <w:rFonts w:ascii="Times New Roman;sans-serif" w:hAnsi="Times New Roman;sans-serif"/>
          <w:b/>
          <w:i/>
          <w:color w:val="000000"/>
          <w:sz w:val="20"/>
        </w:rPr>
        <w:t xml:space="preserve">Foreclosed Assets </w:t>
      </w:r>
      <w:r>
        <w:rPr>
          <w:rFonts w:ascii="Times New Roman;sans-serif" w:hAnsi="Times New Roman;sans-serif"/>
          <w:b w:val="false"/>
          <w:color w:val="000000"/>
          <w:sz w:val="20"/>
        </w:rPr>
        <w:t xml:space="preserve">Real estate acquired as a result of foreclosure is initially recorded at fair value less estimated selling costs. Fair value is generally determined through the receipt of appraisals. Any write down to fair value at the time the property is acquired is recorded as a charge-off to the allowance for credit losses. Any decline in the fair value of the property subsequent to acquisition is recorded as a charge to non-interest expense. </w:t>
      </w:r>
    </w:p>
    <w:p>
      <w:pPr>
        <w:pStyle w:val="TextBody"/>
        <w:spacing w:lineRule="auto" w:line="288" w:before="240" w:after="283"/>
        <w:jc w:val="both"/>
        <w:rPr/>
      </w:pPr>
      <w:r>
        <w:rPr>
          <w:rFonts w:ascii="Times New Roman;sans-serif" w:hAnsi="Times New Roman;sans-serif"/>
          <w:b/>
          <w:i/>
          <w:color w:val="000000"/>
          <w:sz w:val="20"/>
        </w:rPr>
        <w:t>Premises and Equipment</w:t>
      </w:r>
      <w:r>
        <w:rPr>
          <w:color w:val="000000"/>
        </w:rPr>
        <w:t xml:space="preserve"> </w:t>
      </w:r>
      <w:r>
        <w:rPr>
          <w:rFonts w:ascii="Times New Roman;sans-serif" w:hAnsi="Times New Roman;sans-serif"/>
          <w:b w:val="false"/>
          <w:color w:val="000000"/>
          <w:sz w:val="20"/>
        </w:rPr>
        <w:t xml:space="preserve">Premises and equipment are stated at cost less accumulated depreciation and amortization. Depreciation is computed over the 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 </w:t>
      </w:r>
    </w:p>
    <w:p>
      <w:pPr>
        <w:pStyle w:val="TextBody"/>
        <w:spacing w:lineRule="auto" w:line="288" w:before="240" w:after="283"/>
        <w:jc w:val="both"/>
        <w:rPr/>
      </w:pPr>
      <w:r>
        <w:rPr>
          <w:rFonts w:ascii="Times New Roman;sans-serif" w:hAnsi="Times New Roman;sans-serif"/>
          <w:b/>
          <w:i/>
          <w:color w:val="000000"/>
          <w:sz w:val="20"/>
        </w:rPr>
        <w:t>Intangible Assets</w:t>
      </w:r>
      <w:r>
        <w:rPr>
          <w:color w:val="000000"/>
        </w:rPr>
        <w:t xml:space="preserve"> </w:t>
      </w:r>
      <w:r>
        <w:rPr>
          <w:rFonts w:ascii="Times New Roman;sans-serif" w:hAnsi="Times New Roman;sans-serif"/>
          <w:b w:val="false"/>
          <w:color w:val="000000"/>
          <w:sz w:val="20"/>
        </w:rPr>
        <w:t xml:space="preserve">Cost in excess of fair value of net assets acquired has resulted from business acquisitions. Goodwill and intangible assets with indefinite useful lives are not amortized, but instead are tested for impairment at least annually. Intangible assets with definite useful lives are amortized on a straight-line basis over their respective estimated useful lives.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Periodically, the Company reviews intangible assets for events or changes in circumstances that may indicate that the carrying amount of the assets may not be recoverable. Based on those reviews, adjustments of recorded amounts have not been required. </w:t>
      </w:r>
    </w:p>
    <w:p>
      <w:pPr>
        <w:pStyle w:val="TextBody"/>
        <w:spacing w:lineRule="auto" w:line="288" w:before="240" w:after="283"/>
        <w:jc w:val="both"/>
        <w:rPr/>
      </w:pPr>
      <w:r>
        <w:rPr>
          <w:rFonts w:ascii="Times New Roman;sans-serif" w:hAnsi="Times New Roman;sans-serif"/>
          <w:b/>
          <w:i/>
          <w:color w:val="000000"/>
          <w:sz w:val="20"/>
        </w:rPr>
        <w:t>Non-marketable Equity Investments</w:t>
      </w:r>
      <w:r>
        <w:rPr>
          <w:color w:val="000000"/>
        </w:rPr>
        <w:t xml:space="preserve"> </w:t>
      </w:r>
      <w:r>
        <w:rPr>
          <w:rFonts w:ascii="Times New Roman;sans-serif" w:hAnsi="Times New Roman;sans-serif"/>
          <w:b w:val="false"/>
          <w:color w:val="000000"/>
          <w:sz w:val="20"/>
        </w:rPr>
        <w:t xml:space="preserve">The Company accounts for non-marketable equity investments, in which it holds less than a 20% ownership, as equity investments without readily determinable 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 </w:t>
      </w:r>
    </w:p>
    <w:p>
      <w:pPr>
        <w:pStyle w:val="TextBody"/>
        <w:spacing w:lineRule="auto" w:line="288" w:before="240" w:after="283"/>
        <w:jc w:val="both"/>
        <w:rPr/>
      </w:pPr>
      <w:r>
        <w:rPr>
          <w:rFonts w:ascii="Times New Roman;sans-serif" w:hAnsi="Times New Roman;sans-serif"/>
          <w:b/>
          <w:i/>
          <w:color w:val="000000"/>
          <w:sz w:val="20"/>
        </w:rPr>
        <w:t>Treasury Stock</w:t>
      </w:r>
      <w:r>
        <w:rPr>
          <w:color w:val="000000"/>
        </w:rPr>
        <w:t xml:space="preserve"> </w:t>
      </w:r>
      <w:r>
        <w:rPr>
          <w:rFonts w:ascii="Times New Roman;sans-serif" w:hAnsi="Times New Roman;sans-serif"/>
          <w:b w:val="false"/>
          <w:color w:val="000000"/>
          <w:sz w:val="20"/>
        </w:rPr>
        <w:t xml:space="preserve">Purchases of the Company’s common stock are recorded at cost. Upon reissuance, treasury stock is reduced based upon the average cost basis of shares held. </w:t>
      </w:r>
    </w:p>
    <w:p>
      <w:pPr>
        <w:pStyle w:val="TextBody"/>
        <w:spacing w:lineRule="auto" w:line="288" w:before="240" w:after="283"/>
        <w:jc w:val="both"/>
        <w:rPr/>
      </w:pPr>
      <w:r>
        <w:rPr>
          <w:rFonts w:ascii="Times New Roman;sans-serif" w:hAnsi="Times New Roman;sans-serif"/>
          <w:b/>
          <w:i/>
          <w:color w:val="000000"/>
          <w:sz w:val="20"/>
        </w:rPr>
        <w:t>Comprehensive Income</w:t>
      </w:r>
      <w:r>
        <w:rPr>
          <w:color w:val="000000"/>
        </w:rPr>
        <w:t xml:space="preserve"> </w:t>
      </w:r>
      <w:r>
        <w:rPr>
          <w:rFonts w:ascii="Times New Roman;sans-serif" w:hAnsi="Times New Roman;sans-serif"/>
          <w:b w:val="false"/>
          <w:color w:val="000000"/>
          <w:sz w:val="20"/>
        </w:rPr>
        <w:t xml:space="preserve">Comprehensive income consists of net income, changes in net unrealized gains (losses) on available-for-sale securities and pension liability adjustments and is presented in the accompanying consolidated statements of shareholders' equity and consolidated statements of comprehensive income. </w:t>
      </w:r>
    </w:p>
    <w:p>
      <w:pPr>
        <w:pStyle w:val="TextBody"/>
        <w:spacing w:lineRule="auto" w:line="288" w:before="240" w:after="283"/>
        <w:jc w:val="both"/>
        <w:rPr/>
      </w:pPr>
      <w:r>
        <w:rPr>
          <w:rFonts w:ascii="Times New Roman;sans-serif" w:hAnsi="Times New Roman;sans-serif"/>
          <w:b/>
          <w:i/>
          <w:color w:val="000000"/>
          <w:sz w:val="20"/>
        </w:rPr>
        <w:t>Information Services Revenue</w:t>
      </w:r>
      <w:r>
        <w:rPr>
          <w:color w:val="000000"/>
        </w:rPr>
        <w:t xml:space="preserve"> </w:t>
      </w:r>
      <w:r>
        <w:rPr>
          <w:rFonts w:ascii="Times New Roman;sans-serif" w:hAnsi="Times New Roman;sans-serif"/>
          <w:b w:val="false"/>
          <w:color w:val="000000"/>
          <w:sz w:val="20"/>
        </w:rPr>
        <w:t xml:space="preserve">A majority of the Company’s revenues are attributable to fees for providing services related to processing and payment of invoices. These services include invoice processing, transportation invoice rating, payment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and services,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 </w:t>
      </w:r>
    </w:p>
    <w:p>
      <w:pPr>
        <w:pStyle w:val="TextBody"/>
        <w:spacing w:lineRule="auto" w:line="288" w:before="240" w:after="283"/>
        <w:jc w:val="both"/>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xml:space="preserve">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 </w:t>
      </w:r>
    </w:p>
    <w:p>
      <w:pPr>
        <w:pStyle w:val="TextBody"/>
        <w:spacing w:lineRule="auto" w:line="288" w:before="240" w:after="283"/>
        <w:jc w:val="both"/>
        <w:rPr/>
      </w:pPr>
      <w:r>
        <w:rPr>
          <w:rFonts w:ascii="Times New Roman;sans-serif" w:hAnsi="Times New Roman;sans-serif"/>
          <w:b/>
          <w:i/>
          <w:color w:val="000000"/>
          <w:sz w:val="20"/>
        </w:rPr>
        <w:t>Earnings Per Share</w:t>
      </w:r>
      <w:r>
        <w:rPr>
          <w:color w:val="000000"/>
        </w:rPr>
        <w:t xml:space="preserve"> </w:t>
      </w:r>
      <w:r>
        <w:rPr>
          <w:rFonts w:ascii="Times New Roman;sans-serif" w:hAnsi="Times New Roman;sans-serif"/>
          <w:b w:val="false"/>
          <w:color w:val="000000"/>
          <w:sz w:val="20"/>
        </w:rPr>
        <w:t xml:space="preserve">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w:t>
      </w:r>
    </w:p>
    <w:p>
      <w:pPr>
        <w:pStyle w:val="TextBody"/>
        <w:spacing w:lineRule="auto" w:line="288" w:before="240" w:after="283"/>
        <w:jc w:val="both"/>
        <w:rPr/>
      </w:pPr>
      <w:r>
        <w:rPr>
          <w:rFonts w:ascii="Times New Roman;sans-serif" w:hAnsi="Times New Roman;sans-serif"/>
          <w:b/>
          <w:i/>
          <w:color w:val="000000"/>
          <w:sz w:val="20"/>
        </w:rPr>
        <w:t>Stock-Based Compensation</w:t>
      </w:r>
      <w:r>
        <w:rPr>
          <w:color w:val="000000"/>
        </w:rPr>
        <w:t xml:space="preserve"> </w:t>
      </w:r>
      <w:r>
        <w:rPr>
          <w:rFonts w:ascii="Times New Roman;sans-serif" w:hAnsi="Times New Roman;sans-serif"/>
          <w:b w:val="false"/>
          <w:color w:val="000000"/>
          <w:sz w:val="20"/>
        </w:rPr>
        <w:t xml:space="preserve">The Company follows FASB ASC 718, </w:t>
      </w:r>
      <w:r>
        <w:rPr>
          <w:rFonts w:ascii="Times New Roman;sans-serif" w:hAnsi="Times New Roman;sans-serif"/>
          <w:b w:val="false"/>
          <w:i/>
          <w:color w:val="000000"/>
          <w:sz w:val="20"/>
        </w:rPr>
        <w:t>Accounting for Stock Options and Other Stock-based Compensation</w:t>
      </w:r>
      <w:r>
        <w:rPr>
          <w:color w:val="000000"/>
        </w:rPr>
        <w:t xml:space="preserve"> </w:t>
      </w:r>
      <w:r>
        <w:rPr>
          <w:rFonts w:ascii="Times New Roman;sans-serif" w:hAnsi="Times New Roman;sans-serif"/>
          <w:b w:val="false"/>
          <w:color w:val="000000"/>
          <w:sz w:val="20"/>
        </w:rPr>
        <w:t xml:space="preserve">(“ASC 718”), which requires that all stock-based 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 </w:t>
      </w:r>
    </w:p>
    <w:p>
      <w:pPr>
        <w:pStyle w:val="TextBody"/>
        <w:spacing w:lineRule="auto" w:line="288" w:before="240" w:after="283"/>
        <w:jc w:val="both"/>
        <w:rPr/>
      </w:pPr>
      <w:r>
        <w:rPr>
          <w:rFonts w:ascii="Times New Roman;sans-serif" w:hAnsi="Times New Roman;sans-serif"/>
          <w:b/>
          <w:i/>
          <w:color w:val="000000"/>
          <w:sz w:val="20"/>
        </w:rPr>
        <w:t>Pension Plans</w:t>
      </w:r>
      <w:r>
        <w:rPr>
          <w:color w:val="000000"/>
        </w:rPr>
        <w:t xml:space="preserve"> </w:t>
      </w:r>
      <w:r>
        <w:rPr>
          <w:rFonts w:ascii="Times New Roman;sans-serif" w:hAnsi="Times New Roman;sans-serif"/>
          <w:b w:val="false"/>
          <w:color w:val="000000"/>
          <w:sz w:val="20"/>
        </w:rPr>
        <w:t>The amounts recognized in the consolidated financial statements related to pension are determined from actuarial valuations. Inherent in these valuations are assumptions including expected return on plan assets, discount rates at which the liabilities could be settled at December 31, 2021, rate of increase in future compensation levels and mortality rates. These assumptions are updated annually and are disclosed in Note 10. The Company follows FASB ASC 715-</w:t>
      </w:r>
      <w:r>
        <w:rPr>
          <w:rFonts w:ascii="Times New Roman;sans-serif" w:hAnsi="Times New Roman;sans-serif"/>
          <w:b w:val="false"/>
          <w:i/>
          <w:color w:val="000000"/>
          <w:sz w:val="20"/>
        </w:rPr>
        <w:t>Compensation – Retirement Benefits</w:t>
      </w:r>
      <w:r>
        <w:rPr>
          <w:color w:val="000000"/>
        </w:rPr>
        <w:t xml:space="preserve"> </w:t>
      </w:r>
      <w:r>
        <w:rPr>
          <w:rFonts w:ascii="Times New Roman;sans-serif" w:hAnsi="Times New Roman;sans-serif"/>
          <w:b w:val="false"/>
          <w:color w:val="000000"/>
          <w:sz w:val="20"/>
        </w:rPr>
        <w:t xml:space="preserve">(“ASC 715”), which requires companies to recognize the overfunded or underfunded status of a defined benefit 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 </w:t>
      </w:r>
    </w:p>
    <w:p>
      <w:pPr>
        <w:pStyle w:val="TextBody"/>
        <w:spacing w:lineRule="auto" w:line="288" w:before="240" w:after="283"/>
        <w:jc w:val="both"/>
        <w:rPr/>
      </w:pPr>
      <w:r>
        <w:rPr>
          <w:rFonts w:ascii="Times New Roman;sans-serif" w:hAnsi="Times New Roman;sans-serif"/>
          <w:b/>
          <w:i/>
          <w:color w:val="000000"/>
          <w:sz w:val="20"/>
        </w:rPr>
        <w:t>Fair Value Measurements</w:t>
      </w:r>
      <w:r>
        <w:rPr>
          <w:color w:val="000000"/>
        </w:rPr>
        <w:t xml:space="preserve"> </w:t>
      </w:r>
      <w:r>
        <w:rPr>
          <w:rFonts w:ascii="Times New Roman;sans-serif" w:hAnsi="Times New Roman;sans-serif"/>
          <w:b w:val="false"/>
          <w:color w:val="000000"/>
          <w:sz w:val="20"/>
        </w:rPr>
        <w:t>The Company follows the provisions of FASB ASC 820-</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which defines fair value, 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records individually evaluated credits and other real estate owned at their fair value on a nonrecurring basis. The nonrecurring fair value adjustments typically involve application of lower-of-cost-or-market accounting or impairment write-downs of individual assets.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New and Not Yet Adopted Accounting Pronouncements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 The standard was effective for fiscal periods beginning after December 15, 2019. The CARES Act was signed into law on March 27, 2020 and included provisions that temporarily delayed the required implementation date of ASU 2016-13 to the earlier of the end of the national pandemic or December 31, 2020. The Consolidated Appropriations Act was signed into law on December 27, 2020 and extended the deferral of required implementation of ASU 2016-13 to the earlier of the first day of a company’s fiscal year that begins after the date the COVID-19 national emergency comes to an end or January 1, 2022. The Company elected to defer the adoption of ASU 2016-13 until December 31, 2020 with an effective date of January 1, 2020.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required measurement and recognition of expected credit losses for financial instruments held at amortized cost, which include allowances for credit losses expected over the life of the portfolio, rather than incurred losses, which include allowances for current known and inherent losses within the portfolio. Under this standard, the Company is required to hold an allowance equal to the expected life-of-loan losses on the loan portfolio. It also applies to off-balance sheet credit exposures such as loan commitments, standby letters of credit and other similar instruments. In addition, ASU 2016-13 made changes to the accounting for available-for-sale debt securities.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2016-13 using a modified retrospective approach. Results for annual reporting periods beginning after January 1, 2020 are presented under ASU 2016-13 while prior period amounts continue to be reported in accordance with previously applicable GAAP. Upon adoption, the Company recognized increases of $723,000 in the allowance for credit losses and $402,000 in the reserve for unfunded commitments, with a corresponding reduction to retained earnings, net of tax, of $856,000. No allowance for credit loss was required upon adoption for the investment securities portfolio. Consistent with the provisions of the CARES Act, results for quarterly reporting periods beginning after December 31, 2020 in the Company’s Form 10-Q are presented under ASU 2016-13 while prior quarterly period amounts continue to be reported in accordance with previously applicable GAAP.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the impact of the adoption of ASU 2016-13: </w:t>
      </w:r>
    </w:p>
    <w:tbl>
      <w:tblPr>
        <w:tblW w:w="10205" w:type="dxa"/>
        <w:jc w:val="center"/>
        <w:tblInd w:w="0" w:type="dxa"/>
        <w:tblCellMar>
          <w:top w:w="28" w:type="dxa"/>
          <w:left w:w="28" w:type="dxa"/>
          <w:bottom w:w="28" w:type="dxa"/>
          <w:right w:w="28" w:type="dxa"/>
        </w:tblCellMar>
      </w:tblPr>
      <w:tblGrid>
        <w:gridCol w:w="1124"/>
        <w:gridCol w:w="937"/>
        <w:gridCol w:w="940"/>
        <w:gridCol w:w="319"/>
        <w:gridCol w:w="1092"/>
        <w:gridCol w:w="164"/>
        <w:gridCol w:w="109"/>
        <w:gridCol w:w="109"/>
        <w:gridCol w:w="109"/>
        <w:gridCol w:w="657"/>
        <w:gridCol w:w="1457"/>
        <w:gridCol w:w="344"/>
        <w:gridCol w:w="109"/>
        <w:gridCol w:w="109"/>
        <w:gridCol w:w="109"/>
        <w:gridCol w:w="488"/>
        <w:gridCol w:w="1669"/>
        <w:gridCol w:w="360"/>
      </w:tblGrid>
      <w:tr>
        <w:trPr/>
        <w:tc>
          <w:tcPr>
            <w:tcW w:w="112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3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 Under ASU 2016-13</w:t>
            </w:r>
          </w:p>
        </w:tc>
      </w:tr>
      <w:tr>
        <w:trPr/>
        <w:tc>
          <w:tcPr>
            <w:tcW w:w="300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157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loan/credit losses on loans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 </w:t>
            </w:r>
          </w:p>
        </w:tc>
        <w:tc>
          <w:tcPr>
            <w:tcW w:w="14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3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Reserve for unfunded commitments </w:t>
            </w:r>
          </w:p>
        </w:tc>
        <w:tc>
          <w:tcPr>
            <w:tcW w:w="14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equity: </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1"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141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90,341 </w:t>
            </w:r>
          </w:p>
        </w:tc>
        <w:tc>
          <w:tcPr>
            <w:tcW w:w="164"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14"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44"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57"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89,485 </w:t>
            </w:r>
          </w:p>
        </w:tc>
        <w:tc>
          <w:tcPr>
            <w:tcW w:w="360"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and Uncertainties</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March 11, 2020, the WHO declared the outbreak of COVID-19 as a global pandemic. The declaration of a global pandemic meant that almost all public commerce and related business activities was, to varying degrees, curtailed with the goal of decreasing the rate of new infections. In late fiscal 2020, vaccines for combating COVID-19 were approved by health agencies and have been administered throughout the country. Although vaccination efforts have been widespread and continuing, and a significant amount of previous business and other restrictions have been lifted, the continued impact of COVID-19, including any increases in the infection rates, new variants, and renewed governmental action to slow the spread of COVID-19, cannot be estimated. The ongoing impact of COVID-19, including the impact of restrictions imposed to combat its spread, could result in additional and prolonged business closures, supply chain disruptions, work restrictions and activity restrictions. </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is closely monitoring developments related to COVID-19, checking regularly for updated information and recommendations from the WHO and the CDC, from national, state, and local governments, and evaluating courses of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action being taken by peers.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 </w:t>
      </w:r>
    </w:p>
    <w:p>
      <w:pPr>
        <w:pStyle w:val="TextBody"/>
        <w:spacing w:lineRule="auto" w:line="288" w:before="200" w:after="283"/>
        <w:jc w:val="both"/>
        <w:rPr/>
      </w:pPr>
      <w:r>
        <w:rPr>
          <w:rFonts w:ascii="Times New Roman;sans-serif" w:hAnsi="Times New Roman;sans-serif"/>
          <w:b w:val="false"/>
          <w:i/>
          <w:color w:val="000000"/>
          <w:sz w:val="20"/>
          <w:highlight w:val="white"/>
        </w:rPr>
        <w:t>Financial position and results of operations</w:t>
      </w:r>
      <w:r>
        <w:rPr>
          <w:color w:val="000000"/>
          <w:highlight w:val="white"/>
        </w:rPr>
        <w:t xml:space="preserve"> </w:t>
      </w:r>
      <w:r>
        <w:rPr>
          <w:rFonts w:ascii="Times New Roman;sans-serif" w:hAnsi="Times New Roman;sans-serif"/>
          <w:b w:val="false"/>
          <w:color w:val="000000"/>
          <w:sz w:val="20"/>
          <w:highlight w:val="white"/>
        </w:rPr>
        <w:t xml:space="preserve">- The global health crisis caused by COVID-19 has and will continue to negatively impact business activity throughout the world. The COVID-19 outbreak and associated counter-acting measures implemented by governments around the world, as well as increased business uncertainty and shortages in the labor force, have had, and continue to have, an adverse impact on the Company’s financial results and are discussed in more detail below. </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Although many restrictions have been relaxed with some success and economic conditions have been improving, many states and localities are still experiencing moderate to high levels of COVID-19 cases, prompting continued restrictions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uncertain.</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To the extent any business disruptions continue for an extended period, additional cost control actions will be considered. Future asset impairment charges, increases in allowance for credit losses, or restructuring charges could be more likely and will be dependent on the severity and duration of this crisis and its effect on the Company’s borrowers. </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payment processing services, business closures cause a decrease in the number of transactions and dollars processed due to the decline in customers’ business activity. Other financial impact could occur, though such potential impact is unknown at this time. </w:t>
      </w:r>
    </w:p>
    <w:p>
      <w:pPr>
        <w:pStyle w:val="TextBody"/>
        <w:spacing w:lineRule="auto" w:line="288" w:before="200" w:after="283"/>
        <w:jc w:val="both"/>
        <w:rPr/>
      </w:pPr>
      <w:r>
        <w:rPr>
          <w:rFonts w:ascii="Times New Roman;sans-serif" w:hAnsi="Times New Roman;sans-serif"/>
          <w:b w:val="false"/>
          <w:i/>
          <w:color w:val="000000"/>
          <w:sz w:val="20"/>
          <w:highlight w:val="white"/>
        </w:rPr>
        <w:t>Capital and liquidity</w:t>
      </w:r>
      <w:r>
        <w:rPr>
          <w:color w:val="000000"/>
          <w:highlight w:val="white"/>
        </w:rPr>
        <w:t xml:space="preserve"> </w:t>
      </w:r>
      <w:r>
        <w:rPr>
          <w:rFonts w:ascii="Times New Roman;sans-serif" w:hAnsi="Times New Roman;sans-serif"/>
          <w:b w:val="false"/>
          <w:color w:val="000000"/>
          <w:sz w:val="20"/>
          <w:highlight w:val="white"/>
        </w:rPr>
        <w:t xml:space="preserve">- While the Company believes that it has sufficient capital to withstand an extended economic recession brought about by COVID-19, its reported and regulatory capital ratios could be adversely impacted by future financial losses. </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maintains access to multiple sources of liquidity. If an extended recession caused large numbers of the Bank’s customers to draw down deposits, the Company might become more reliant on more expensive sources of funding. </w:t>
      </w:r>
    </w:p>
    <w:p>
      <w:pPr>
        <w:pStyle w:val="TextBody"/>
        <w:spacing w:lineRule="auto" w:line="288" w:before="200" w:after="283"/>
        <w:jc w:val="both"/>
        <w:rPr/>
      </w:pPr>
      <w:r>
        <w:rPr>
          <w:rFonts w:ascii="Times New Roman;sans-serif" w:hAnsi="Times New Roman;sans-serif"/>
          <w:b w:val="false"/>
          <w:i/>
          <w:color w:val="000000"/>
          <w:sz w:val="20"/>
          <w:highlight w:val="white"/>
        </w:rPr>
        <w:t xml:space="preserve">Asset valuation </w:t>
      </w:r>
      <w:r>
        <w:rPr>
          <w:rFonts w:ascii="Times New Roman;sans-serif" w:hAnsi="Times New Roman;sans-serif"/>
          <w:b w:val="false"/>
          <w:color w:val="000000"/>
          <w:sz w:val="20"/>
          <w:highlight w:val="white"/>
        </w:rPr>
        <w:t xml:space="preserve">- Currently, the Company does not expect COVID-19 to affect its ability to fairly value the assets on its balance sheet; however, this could 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 </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An economic slowdown as a result of COVID-19 could cause a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 </w:t>
      </w:r>
    </w:p>
    <w:p>
      <w:pPr>
        <w:pStyle w:val="TextBody"/>
        <w:spacing w:lineRule="auto" w:line="288" w:before="200" w:after="283"/>
        <w:jc w:val="both"/>
        <w:rPr/>
      </w:pPr>
      <w:r>
        <w:rPr>
          <w:rFonts w:ascii="Times New Roman;sans-serif" w:hAnsi="Times New Roman;sans-serif"/>
          <w:b w:val="false"/>
          <w:i/>
          <w:color w:val="000000"/>
          <w:sz w:val="20"/>
          <w:highlight w:val="white"/>
        </w:rPr>
        <w:t>Processes, controls and business continuity</w:t>
      </w:r>
      <w:r>
        <w:rPr>
          <w:color w:val="000000"/>
          <w:highlight w:val="white"/>
        </w:rPr>
        <w:t xml:space="preserve"> </w:t>
      </w:r>
      <w:r>
        <w:rPr>
          <w:rFonts w:ascii="Times New Roman;sans-serif" w:hAnsi="Times New Roman;sans-serif"/>
          <w:b w:val="false"/>
          <w:color w:val="000000"/>
          <w:sz w:val="20"/>
          <w:highlight w:val="white"/>
        </w:rPr>
        <w:t xml:space="preserve">- In accordance with its federally mandated Pandemic Plan and Business Continuity Plan, many Cass employees around the globe continue to work and conduct business remotely. In the past several years, Cass has invested in sophisticated technology initiatives that enable employees to operate remotely with full system(s) access along with unified and transparent voice and electronic communications capabilities.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2</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Capital Requirements and Regulatory Restrictions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2021 and 2020, the Company and the Bank met all capital adequacy requirements to which they are subject.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also subject to the regulatory framework for prompt corrective action. As of December 31, 2021,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2021, unappropriated retained earnings of $34,976,000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restricted funds on deposit used to meet regulatory reserve requirements at December 31, 2021 and 2020.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and the Bank’s actual and required capital amounts and ratios are as follows: </w:t>
      </w:r>
    </w:p>
    <w:tbl>
      <w:tblPr>
        <w:tblW w:w="10205" w:type="dxa"/>
        <w:jc w:val="left"/>
        <w:tblInd w:w="0" w:type="dxa"/>
        <w:tblCellMar>
          <w:top w:w="28" w:type="dxa"/>
          <w:left w:w="28" w:type="dxa"/>
          <w:bottom w:w="28" w:type="dxa"/>
          <w:right w:w="28" w:type="dxa"/>
        </w:tblCellMar>
      </w:tblPr>
      <w:tblGrid>
        <w:gridCol w:w="852"/>
        <w:gridCol w:w="750"/>
        <w:gridCol w:w="742"/>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413"/>
        <w:gridCol w:w="413"/>
        <w:gridCol w:w="273"/>
        <w:gridCol w:w="172"/>
        <w:gridCol w:w="172"/>
        <w:gridCol w:w="172"/>
        <w:gridCol w:w="308"/>
        <w:gridCol w:w="308"/>
        <w:gridCol w:w="269"/>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2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br/>
              <w:t>Requirements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Requirement to be</w:t>
              <w:br/>
              <w:t>Well-Capitalized</w:t>
            </w:r>
          </w:p>
        </w:tc>
      </w:tr>
      <w:tr>
        <w:trPr/>
        <w:tc>
          <w:tcPr>
            <w:tcW w:w="2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4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At December 31, 2021</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240,265 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31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N/A</w:t>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 %</w:t>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101,454 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Equity 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65,945 </w:t>
            </w:r>
          </w:p>
        </w:tc>
        <w:tc>
          <w:tcPr>
            <w:tcW w:w="2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81,163 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average assets)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73,795 </w:t>
            </w:r>
          </w:p>
        </w:tc>
        <w:tc>
          <w:tcPr>
            <w:tcW w:w="2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At December 31, 2020</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N/A</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 %</w:t>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171,298 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79,819 </w:t>
            </w:r>
          </w:p>
        </w:tc>
        <w:tc>
          <w:tcPr>
            <w:tcW w:w="2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Equity 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51,882 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2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average assets)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55,679 </w:t>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3</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securities available-for-sale are recorded at fair value on a recurring basis. The Company’s investment securities available-for-sale at December 31, 2021 and 2020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measured at fair value on a recurring basis. The amortized cost, gross unrealized gains, gross unrealized losses and fair value of debt and equity securities are summarized as follows: </w:t>
      </w:r>
    </w:p>
    <w:tbl>
      <w:tblPr>
        <w:tblW w:w="10205" w:type="dxa"/>
        <w:jc w:val="left"/>
        <w:tblInd w:w="0" w:type="dxa"/>
        <w:tblCellMar>
          <w:top w:w="28" w:type="dxa"/>
          <w:left w:w="28" w:type="dxa"/>
          <w:bottom w:w="28" w:type="dxa"/>
          <w:right w:w="28" w:type="dxa"/>
        </w:tblCellMar>
      </w:tblPr>
      <w:tblGrid>
        <w:gridCol w:w="1902"/>
        <w:gridCol w:w="1471"/>
        <w:gridCol w:w="1434"/>
        <w:gridCol w:w="211"/>
        <w:gridCol w:w="826"/>
        <w:gridCol w:w="109"/>
        <w:gridCol w:w="109"/>
        <w:gridCol w:w="109"/>
        <w:gridCol w:w="109"/>
        <w:gridCol w:w="211"/>
        <w:gridCol w:w="721"/>
        <w:gridCol w:w="109"/>
        <w:gridCol w:w="109"/>
        <w:gridCol w:w="109"/>
        <w:gridCol w:w="109"/>
        <w:gridCol w:w="229"/>
        <w:gridCol w:w="688"/>
        <w:gridCol w:w="120"/>
        <w:gridCol w:w="109"/>
        <w:gridCol w:w="109"/>
        <w:gridCol w:w="109"/>
        <w:gridCol w:w="211"/>
        <w:gridCol w:w="826"/>
        <w:gridCol w:w="156"/>
      </w:tblGrid>
      <w:tr>
        <w:trPr/>
        <w:tc>
          <w:tcPr>
            <w:tcW w:w="1902"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8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80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371,128 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84,338 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664,271 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w:t>
            </w:r>
          </w:p>
        </w:tc>
        <w:tc>
          <w:tcPr>
            <w:tcW w:w="1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903"/>
        <w:gridCol w:w="1471"/>
        <w:gridCol w:w="1434"/>
        <w:gridCol w:w="211"/>
        <w:gridCol w:w="826"/>
        <w:gridCol w:w="109"/>
        <w:gridCol w:w="109"/>
        <w:gridCol w:w="109"/>
        <w:gridCol w:w="109"/>
        <w:gridCol w:w="211"/>
        <w:gridCol w:w="721"/>
        <w:gridCol w:w="109"/>
        <w:gridCol w:w="109"/>
        <w:gridCol w:w="109"/>
        <w:gridCol w:w="109"/>
        <w:gridCol w:w="301"/>
        <w:gridCol w:w="579"/>
        <w:gridCol w:w="156"/>
        <w:gridCol w:w="109"/>
        <w:gridCol w:w="109"/>
        <w:gridCol w:w="109"/>
        <w:gridCol w:w="211"/>
        <w:gridCol w:w="826"/>
        <w:gridCol w:w="156"/>
      </w:tblGrid>
      <w:tr>
        <w:trPr/>
        <w:tc>
          <w:tcPr>
            <w:tcW w:w="1903"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48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80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305,974 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480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338,047 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securities with unrealized losses are as follows: </w:t>
      </w:r>
    </w:p>
    <w:tbl>
      <w:tblPr>
        <w:tblW w:w="10205" w:type="dxa"/>
        <w:jc w:val="left"/>
        <w:tblInd w:w="0" w:type="dxa"/>
        <w:tblCellMar>
          <w:top w:w="28" w:type="dxa"/>
          <w:left w:w="28" w:type="dxa"/>
          <w:bottom w:w="28" w:type="dxa"/>
          <w:right w:w="28" w:type="dxa"/>
        </w:tblCellMar>
      </w:tblPr>
      <w:tblGrid>
        <w:gridCol w:w="983"/>
        <w:gridCol w:w="489"/>
        <w:gridCol w:w="423"/>
        <w:gridCol w:w="211"/>
        <w:gridCol w:w="826"/>
        <w:gridCol w:w="109"/>
        <w:gridCol w:w="109"/>
        <w:gridCol w:w="109"/>
        <w:gridCol w:w="109"/>
        <w:gridCol w:w="233"/>
        <w:gridCol w:w="681"/>
        <w:gridCol w:w="122"/>
        <w:gridCol w:w="109"/>
        <w:gridCol w:w="109"/>
        <w:gridCol w:w="109"/>
        <w:gridCol w:w="279"/>
        <w:gridCol w:w="538"/>
        <w:gridCol w:w="145"/>
        <w:gridCol w:w="203"/>
        <w:gridCol w:w="203"/>
        <w:gridCol w:w="109"/>
        <w:gridCol w:w="301"/>
        <w:gridCol w:w="579"/>
        <w:gridCol w:w="156"/>
        <w:gridCol w:w="109"/>
        <w:gridCol w:w="109"/>
        <w:gridCol w:w="109"/>
        <w:gridCol w:w="211"/>
        <w:gridCol w:w="826"/>
        <w:gridCol w:w="109"/>
        <w:gridCol w:w="109"/>
        <w:gridCol w:w="109"/>
        <w:gridCol w:w="109"/>
        <w:gridCol w:w="211"/>
        <w:gridCol w:w="616"/>
        <w:gridCol w:w="334"/>
      </w:tblGrid>
      <w:tr>
        <w:trPr/>
        <w:tc>
          <w:tcPr>
            <w:tcW w:w="98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r>
      <w:tr>
        <w:trPr/>
        <w:tc>
          <w:tcPr>
            <w:tcW w:w="189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34" w:type="dxa"/>
            <w:tcBorders/>
            <w:shd w:fill="FFFFFF"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18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3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101 securities, or 28%, in an unrealized loss position as of December 31, 2021 compared to zero securities in an unrealized loss position as of December 31, 2020. None of these securities were in an unrealized loss position for greater than 12 months at December 31, 2021. The amortized cost and fair value of debt and equity securities by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maturity are shown in the following table. Expected maturities may differ from contractual maturities because borrowers have the right to prepay obligations with or without prepayment penalties. </w:t>
      </w:r>
    </w:p>
    <w:tbl>
      <w:tblPr>
        <w:tblW w:w="5866" w:type="dxa"/>
        <w:jc w:val="left"/>
        <w:tblInd w:w="0" w:type="dxa"/>
        <w:tblCellMar>
          <w:top w:w="28" w:type="dxa"/>
          <w:left w:w="28" w:type="dxa"/>
          <w:bottom w:w="28" w:type="dxa"/>
          <w:right w:w="28" w:type="dxa"/>
        </w:tblCellMar>
      </w:tblPr>
      <w:tblGrid>
        <w:gridCol w:w="1058"/>
        <w:gridCol w:w="931"/>
        <w:gridCol w:w="935"/>
        <w:gridCol w:w="262"/>
        <w:gridCol w:w="1027"/>
        <w:gridCol w:w="135"/>
        <w:gridCol w:w="109"/>
        <w:gridCol w:w="109"/>
        <w:gridCol w:w="109"/>
        <w:gridCol w:w="211"/>
        <w:gridCol w:w="826"/>
        <w:gridCol w:w="154"/>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in 1 year or less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23,959 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1 year through 5 years </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5 years through 10 years </w:t>
            </w:r>
          </w:p>
        </w:tc>
        <w:tc>
          <w:tcPr>
            <w:tcW w:w="128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224,344 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10 years </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298,649 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664,271 </w:t>
            </w:r>
          </w:p>
        </w:tc>
        <w:tc>
          <w:tcPr>
            <w:tcW w:w="13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premium related to the purchase of state and political subdivisions was $6,361,000 and $6,013,000 at December 31, 2021 and 2020, respectively.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securities pledged to secure public deposits or for other purposes at December 31,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sales of investment securities classified as available-for-sale were $63,774,000 in 2021, $21,943,000 in 2020, and $4,648,000 in 2019. Gross realized gains on the sales in 2021, 2020, and 2019 were $55,000, $1,075,000, and $19,000, respectively. There were $4,000 of gross realized losses on sales in 2021 and no gross realized losses in 2020 or 2019.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recognize credit losses on any available for sale debt securities in 2021 or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originates commercial, industrial and real estate loans to businesses and faith-based ministries throughout the metropolitan St. Louis, Missouri area, Orange County, California,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loans secured by mortgages that are extended to faith-based ministries in its market area and selected cities in the United States.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loan categories is as follows:</w:t>
      </w:r>
    </w:p>
    <w:tbl>
      <w:tblPr>
        <w:tblW w:w="5820" w:type="dxa"/>
        <w:jc w:val="left"/>
        <w:tblInd w:w="0" w:type="dxa"/>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31"/>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1"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298,984 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shd w:fill="DBDBDB"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100,419 </w:t>
            </w:r>
          </w:p>
        </w:tc>
        <w:tc>
          <w:tcPr>
            <w:tcW w:w="1031" w:type="dxa"/>
            <w:tcBorders/>
            <w:shd w:fill="FFFFFF"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25,090 </w:t>
            </w:r>
          </w:p>
        </w:tc>
        <w:tc>
          <w:tcPr>
            <w:tcW w:w="10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333,661 </w:t>
            </w:r>
          </w:p>
        </w:tc>
        <w:tc>
          <w:tcPr>
            <w:tcW w:w="1031" w:type="dxa"/>
            <w:tcBorders/>
            <w:shd w:fill="DBDBDB"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10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PPP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10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loans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10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aging of loans by loan categories at December 31, 2021:</w:t>
      </w:r>
    </w:p>
    <w:tbl>
      <w:tblPr>
        <w:tblW w:w="9810" w:type="dxa"/>
        <w:jc w:val="center"/>
        <w:tblInd w:w="0" w:type="dxa"/>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26"/>
        <w:gridCol w:w="436"/>
        <w:gridCol w:w="117"/>
        <w:gridCol w:w="109"/>
        <w:gridCol w:w="109"/>
        <w:gridCol w:w="109"/>
        <w:gridCol w:w="218"/>
        <w:gridCol w:w="419"/>
        <w:gridCol w:w="114"/>
        <w:gridCol w:w="109"/>
        <w:gridCol w:w="109"/>
        <w:gridCol w:w="109"/>
        <w:gridCol w:w="211"/>
        <w:gridCol w:w="826"/>
        <w:gridCol w:w="731"/>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2"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Performing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Nonperforming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w:t>
              <w:br/>
              <w:t>Over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Loans</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355,582 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7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aging of loans by loan categories at December 31, 2020:</w:t>
      </w:r>
    </w:p>
    <w:tbl>
      <w:tblPr>
        <w:tblW w:w="9810" w:type="dxa"/>
        <w:jc w:val="center"/>
        <w:tblInd w:w="0" w:type="dxa"/>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26"/>
        <w:gridCol w:w="436"/>
        <w:gridCol w:w="117"/>
        <w:gridCol w:w="109"/>
        <w:gridCol w:w="109"/>
        <w:gridCol w:w="109"/>
        <w:gridCol w:w="218"/>
        <w:gridCol w:w="419"/>
        <w:gridCol w:w="114"/>
        <w:gridCol w:w="109"/>
        <w:gridCol w:w="109"/>
        <w:gridCol w:w="109"/>
        <w:gridCol w:w="211"/>
        <w:gridCol w:w="826"/>
        <w:gridCol w:w="731"/>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2"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Performing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Nonperforming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w:t>
              <w:br/>
              <w:t>Over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Loans</w:t>
            </w:r>
          </w:p>
        </w:tc>
      </w:tr>
      <w:tr>
        <w:trPr/>
        <w:tc>
          <w:tcPr>
            <w:tcW w:w="22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298,984 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333,661 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333,661 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credit exposure of the loan portfolio by internally assigned credit grade as of December 31, 2021:</w:t>
      </w:r>
    </w:p>
    <w:tbl>
      <w:tblPr>
        <w:tblW w:w="9244" w:type="dxa"/>
        <w:jc w:val="center"/>
        <w:tblInd w:w="0" w:type="dxa"/>
        <w:tblCellMar>
          <w:top w:w="28" w:type="dxa"/>
          <w:left w:w="28" w:type="dxa"/>
          <w:bottom w:w="28" w:type="dxa"/>
          <w:right w:w="28" w:type="dxa"/>
        </w:tblCellMar>
      </w:tblPr>
      <w:tblGrid>
        <w:gridCol w:w="842"/>
        <w:gridCol w:w="741"/>
        <w:gridCol w:w="742"/>
        <w:gridCol w:w="229"/>
        <w:gridCol w:w="898"/>
        <w:gridCol w:w="118"/>
        <w:gridCol w:w="109"/>
        <w:gridCol w:w="109"/>
        <w:gridCol w:w="109"/>
        <w:gridCol w:w="303"/>
        <w:gridCol w:w="1038"/>
        <w:gridCol w:w="158"/>
        <w:gridCol w:w="109"/>
        <w:gridCol w:w="109"/>
        <w:gridCol w:w="109"/>
        <w:gridCol w:w="414"/>
        <w:gridCol w:w="797"/>
        <w:gridCol w:w="215"/>
        <w:gridCol w:w="109"/>
        <w:gridCol w:w="109"/>
        <w:gridCol w:w="109"/>
        <w:gridCol w:w="211"/>
        <w:gridCol w:w="826"/>
        <w:gridCol w:w="731"/>
      </w:tblGrid>
      <w:tr>
        <w:trPr/>
        <w:tc>
          <w:tcPr>
            <w:tcW w:w="842"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4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Subject to</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Normal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Performing</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 to</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Special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Nonperforming</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Special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440,607 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450,336 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352,717 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355,582 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PPP </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2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947,973 </w:t>
            </w:r>
          </w:p>
        </w:tc>
        <w:tc>
          <w:tcPr>
            <w:tcW w:w="1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12,594 </w:t>
            </w:r>
          </w:p>
        </w:tc>
        <w:tc>
          <w:tcPr>
            <w:tcW w:w="1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960,567 </w:t>
            </w:r>
          </w:p>
        </w:tc>
        <w:tc>
          <w:tcPr>
            <w:tcW w:w="7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subject to normal monitoring involve borrowers of acceptable-to-strong credit quality and risk and have the apparent ability to satisfy their loan obligation.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subject to special monitoring possess some credit deficiency or potential weakness which requires a high level of management attention. </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loans that were considered individually evaluated credits at December 31, 2021.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credit exposure of the loan portfolio by internally assigned credit grade as of December 31, 2020:</w:t>
      </w:r>
    </w:p>
    <w:tbl>
      <w:tblPr>
        <w:tblW w:w="9244" w:type="dxa"/>
        <w:jc w:val="center"/>
        <w:tblInd w:w="0" w:type="dxa"/>
        <w:tblCellMar>
          <w:top w:w="28" w:type="dxa"/>
          <w:left w:w="28" w:type="dxa"/>
          <w:bottom w:w="28" w:type="dxa"/>
          <w:right w:w="28" w:type="dxa"/>
        </w:tblCellMar>
      </w:tblPr>
      <w:tblGrid>
        <w:gridCol w:w="842"/>
        <w:gridCol w:w="741"/>
        <w:gridCol w:w="742"/>
        <w:gridCol w:w="229"/>
        <w:gridCol w:w="898"/>
        <w:gridCol w:w="118"/>
        <w:gridCol w:w="109"/>
        <w:gridCol w:w="109"/>
        <w:gridCol w:w="109"/>
        <w:gridCol w:w="303"/>
        <w:gridCol w:w="1038"/>
        <w:gridCol w:w="158"/>
        <w:gridCol w:w="109"/>
        <w:gridCol w:w="109"/>
        <w:gridCol w:w="109"/>
        <w:gridCol w:w="414"/>
        <w:gridCol w:w="797"/>
        <w:gridCol w:w="215"/>
        <w:gridCol w:w="109"/>
        <w:gridCol w:w="109"/>
        <w:gridCol w:w="109"/>
        <w:gridCol w:w="211"/>
        <w:gridCol w:w="826"/>
        <w:gridCol w:w="731"/>
      </w:tblGrid>
      <w:tr>
        <w:trPr/>
        <w:tc>
          <w:tcPr>
            <w:tcW w:w="842"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4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Subject to</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Normal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Performing</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 to</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Special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Nonperforming</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Special</w:t>
            </w:r>
          </w:p>
          <w:p>
            <w:pPr>
              <w:pStyle w:val="TableContents"/>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284,882 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298,984 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330,554 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333,661 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11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1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109,704 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873,092 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891,676 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subject to normal monitoring involve borrowers of acceptable-to-strong credit quality and risk and have the apparent ability to satisfy their loan obligation.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subject to special monitoring possess some credit deficiency or potential weakness which requires a high level of management attention. </w:t>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one loan that was considered an individually evaluated credit in the amount of $2,500,000 at December 31, 2020, with a specific allowance for credit loss of $500,000.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loan modifications considered as troubled debt restructurings during the year ended December 31, 2021. The recorded investment by category for loans considered as troubled debt restructurings during the year ended December 31, 2020 is as follows:</w:t>
      </w:r>
    </w:p>
    <w:tbl>
      <w:tblPr>
        <w:tblW w:w="8347" w:type="dxa"/>
        <w:jc w:val="center"/>
        <w:tblInd w:w="0" w:type="dxa"/>
        <w:tblCellMar>
          <w:top w:w="28" w:type="dxa"/>
          <w:left w:w="28" w:type="dxa"/>
          <w:bottom w:w="28" w:type="dxa"/>
          <w:right w:w="28" w:type="dxa"/>
        </w:tblCellMar>
      </w:tblPr>
      <w:tblGrid>
        <w:gridCol w:w="842"/>
        <w:gridCol w:w="741"/>
        <w:gridCol w:w="742"/>
        <w:gridCol w:w="524"/>
        <w:gridCol w:w="524"/>
        <w:gridCol w:w="526"/>
        <w:gridCol w:w="109"/>
        <w:gridCol w:w="109"/>
        <w:gridCol w:w="109"/>
        <w:gridCol w:w="421"/>
        <w:gridCol w:w="1234"/>
        <w:gridCol w:w="219"/>
        <w:gridCol w:w="109"/>
        <w:gridCol w:w="109"/>
        <w:gridCol w:w="109"/>
        <w:gridCol w:w="412"/>
        <w:gridCol w:w="1206"/>
        <w:gridCol w:w="302"/>
      </w:tblGrid>
      <w:tr>
        <w:trPr/>
        <w:tc>
          <w:tcPr>
            <w:tcW w:w="842"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7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 of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Pre-Modification</w:t>
              <w:br/>
              <w:t>Outstanding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Post-Modification</w:t>
              <w:br/>
              <w:t>Outstanding Balance</w:t>
            </w:r>
          </w:p>
        </w:tc>
      </w:tr>
      <w:tr>
        <w:trPr/>
        <w:tc>
          <w:tcPr>
            <w:tcW w:w="23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157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real estate </w:t>
            </w:r>
          </w:p>
        </w:tc>
        <w:tc>
          <w:tcPr>
            <w:tcW w:w="157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57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9,802 </w:t>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9,802 </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two loans were restructured to change the amortization schedule to reduce payments from the borrowers while the contractual interest rate remained unchanged. There were no loans restructured that subsequently defaulted during the years ended December 31, 2021 or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ACL by category for the period ended December 31, 2021 is as follows:</w:t>
      </w:r>
    </w:p>
    <w:tbl>
      <w:tblPr>
        <w:tblW w:w="10205" w:type="dxa"/>
        <w:jc w:val="center"/>
        <w:tblInd w:w="0" w:type="dxa"/>
        <w:tblCellMar>
          <w:top w:w="28" w:type="dxa"/>
          <w:left w:w="28" w:type="dxa"/>
          <w:bottom w:w="28" w:type="dxa"/>
          <w:right w:w="28" w:type="dxa"/>
        </w:tblCellMar>
      </w:tblPr>
      <w:tblGrid>
        <w:gridCol w:w="1141"/>
        <w:gridCol w:w="943"/>
        <w:gridCol w:w="945"/>
        <w:gridCol w:w="211"/>
        <w:gridCol w:w="616"/>
        <w:gridCol w:w="109"/>
        <w:gridCol w:w="109"/>
        <w:gridCol w:w="109"/>
        <w:gridCol w:w="109"/>
        <w:gridCol w:w="211"/>
        <w:gridCol w:w="616"/>
        <w:gridCol w:w="109"/>
        <w:gridCol w:w="109"/>
        <w:gridCol w:w="109"/>
        <w:gridCol w:w="109"/>
        <w:gridCol w:w="322"/>
        <w:gridCol w:w="941"/>
        <w:gridCol w:w="166"/>
        <w:gridCol w:w="109"/>
        <w:gridCol w:w="109"/>
        <w:gridCol w:w="109"/>
        <w:gridCol w:w="322"/>
        <w:gridCol w:w="712"/>
        <w:gridCol w:w="167"/>
        <w:gridCol w:w="109"/>
        <w:gridCol w:w="109"/>
        <w:gridCol w:w="109"/>
        <w:gridCol w:w="211"/>
        <w:gridCol w:w="721"/>
        <w:gridCol w:w="434"/>
      </w:tblGrid>
      <w:tr>
        <w:trPr/>
        <w:tc>
          <w:tcPr>
            <w:tcW w:w="11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C&amp;I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Faith-based CRE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Construction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2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credit losses on loans: </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2020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0"/>
              <w:ind w:left="0" w:right="0" w:firstLine="300"/>
              <w:jc w:val="left"/>
              <w:rPr/>
            </w:pPr>
            <w:r>
              <w:rPr>
                <w:rFonts w:ascii="Times New Roman;sans-serif" w:hAnsi="Times New Roman;sans-serif"/>
                <w:b w:val="false"/>
                <w:color w:val="000000"/>
                <w:sz w:val="20"/>
              </w:rPr>
              <w:t xml:space="preserve">Provision for (release of) credit losses </w:t>
            </w:r>
            <w:r>
              <w:rPr>
                <w:rFonts w:ascii="Times New Roman;sans-serif" w:hAnsi="Times New Roman;sans-serif"/>
                <w:b w:val="false"/>
                <w:color w:val="000000"/>
                <w:sz w:val="13"/>
              </w:rPr>
              <w:t>(1)</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3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Recoveries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2021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4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929" w:type="dxa"/>
        <w:jc w:val="left"/>
        <w:tblInd w:w="0" w:type="dxa"/>
        <w:tblCellMar>
          <w:top w:w="28" w:type="dxa"/>
          <w:left w:w="28" w:type="dxa"/>
          <w:bottom w:w="28" w:type="dxa"/>
          <w:right w:w="28" w:type="dxa"/>
        </w:tblCellMar>
      </w:tblPr>
      <w:tblGrid>
        <w:gridCol w:w="125"/>
        <w:gridCol w:w="110"/>
        <w:gridCol w:w="110"/>
        <w:gridCol w:w="2806"/>
        <w:gridCol w:w="2806"/>
        <w:gridCol w:w="3972"/>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06" w:type="dxa"/>
            <w:tcBorders/>
            <w:shd w:fill="auto" w:val="clear"/>
            <w:vAlign w:val="center"/>
          </w:tcPr>
          <w:p>
            <w:pPr>
              <w:pStyle w:val="TableContents"/>
              <w:spacing w:before="0" w:after="283"/>
              <w:rPr>
                <w:sz w:val="4"/>
                <w:szCs w:val="4"/>
              </w:rPr>
            </w:pPr>
            <w:r>
              <w:rPr>
                <w:sz w:val="4"/>
                <w:szCs w:val="4"/>
              </w:rPr>
            </w:r>
          </w:p>
        </w:tc>
        <w:tc>
          <w:tcPr>
            <w:tcW w:w="2806" w:type="dxa"/>
            <w:tcBorders/>
            <w:shd w:fill="auto" w:val="clear"/>
            <w:vAlign w:val="center"/>
          </w:tcPr>
          <w:p>
            <w:pPr>
              <w:pStyle w:val="TableContents"/>
              <w:spacing w:before="0" w:after="283"/>
              <w:rPr>
                <w:sz w:val="4"/>
                <w:szCs w:val="4"/>
              </w:rPr>
            </w:pPr>
            <w:r>
              <w:rPr>
                <w:sz w:val="4"/>
                <w:szCs w:val="4"/>
              </w:rPr>
            </w:r>
          </w:p>
        </w:tc>
        <w:tc>
          <w:tcPr>
            <w:tcW w:w="3972"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9584" w:type="dxa"/>
            <w:gridSpan w:val="3"/>
            <w:tcBorders/>
            <w:shd w:fill="auto" w:val="clear"/>
            <w:tcMar>
              <w:top w:w="0" w:type="dxa"/>
              <w:left w:w="0" w:type="dxa"/>
              <w:bottom w:w="0" w:type="dxa"/>
              <w:right w:w="0" w:type="dxa"/>
            </w:tcMar>
            <w:vAlign w:val="center"/>
          </w:tcPr>
          <w:p>
            <w:pPr>
              <w:pStyle w:val="TableContents"/>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ended December 31, 2021, there was a release of credit losses of $200,000 for unfunded commitments.</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ACL by category for the period ended December 31, 2020 is as follows:</w:t>
      </w:r>
    </w:p>
    <w:tbl>
      <w:tblPr>
        <w:tblW w:w="10205" w:type="dxa"/>
        <w:jc w:val="left"/>
        <w:tblInd w:w="0" w:type="dxa"/>
        <w:tblCellMar>
          <w:top w:w="28" w:type="dxa"/>
          <w:left w:w="28" w:type="dxa"/>
          <w:bottom w:w="28" w:type="dxa"/>
          <w:right w:w="28" w:type="dxa"/>
        </w:tblCellMar>
      </w:tblPr>
      <w:tblGrid>
        <w:gridCol w:w="1208"/>
        <w:gridCol w:w="954"/>
        <w:gridCol w:w="957"/>
        <w:gridCol w:w="211"/>
        <w:gridCol w:w="616"/>
        <w:gridCol w:w="109"/>
        <w:gridCol w:w="109"/>
        <w:gridCol w:w="109"/>
        <w:gridCol w:w="109"/>
        <w:gridCol w:w="211"/>
        <w:gridCol w:w="616"/>
        <w:gridCol w:w="109"/>
        <w:gridCol w:w="109"/>
        <w:gridCol w:w="109"/>
        <w:gridCol w:w="109"/>
        <w:gridCol w:w="302"/>
        <w:gridCol w:w="882"/>
        <w:gridCol w:w="156"/>
        <w:gridCol w:w="109"/>
        <w:gridCol w:w="109"/>
        <w:gridCol w:w="109"/>
        <w:gridCol w:w="322"/>
        <w:gridCol w:w="712"/>
        <w:gridCol w:w="167"/>
        <w:gridCol w:w="109"/>
        <w:gridCol w:w="109"/>
        <w:gridCol w:w="109"/>
        <w:gridCol w:w="211"/>
        <w:gridCol w:w="721"/>
        <w:gridCol w:w="433"/>
      </w:tblGrid>
      <w:tr>
        <w:trPr/>
        <w:tc>
          <w:tcPr>
            <w:tcW w:w="1208"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C&amp;I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Faith-based CRE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Construction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credit losses on loans: </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4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Cumulative effect of accounting change (ASU 2016-13)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January 1, 2020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1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credit losses </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4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Recoveries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2020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11,944 </w:t>
            </w:r>
          </w:p>
        </w:tc>
        <w:tc>
          <w:tcPr>
            <w:tcW w:w="4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ended December 31, 2020, there was a provision for credit losses of $165,000 for unfunded commitments.</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there were loans totaling $0 and $161,475, respectively, to affiliates of executive officers or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5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Premises and Equipment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premises and equipment is as follows:</w:t>
      </w:r>
    </w:p>
    <w:tbl>
      <w:tblPr>
        <w:tblW w:w="5334" w:type="dxa"/>
        <w:jc w:val="left"/>
        <w:tblInd w:w="0" w:type="dxa"/>
        <w:tblCellMar>
          <w:top w:w="28" w:type="dxa"/>
          <w:left w:w="28" w:type="dxa"/>
          <w:bottom w:w="28" w:type="dxa"/>
          <w:right w:w="28" w:type="dxa"/>
        </w:tblCellMar>
      </w:tblPr>
      <w:tblGrid>
        <w:gridCol w:w="1043"/>
        <w:gridCol w:w="917"/>
        <w:gridCol w:w="920"/>
        <w:gridCol w:w="211"/>
        <w:gridCol w:w="721"/>
        <w:gridCol w:w="109"/>
        <w:gridCol w:w="109"/>
        <w:gridCol w:w="109"/>
        <w:gridCol w:w="109"/>
        <w:gridCol w:w="211"/>
        <w:gridCol w:w="721"/>
        <w:gridCol w:w="154"/>
      </w:tblGrid>
      <w:tr>
        <w:trPr/>
        <w:tc>
          <w:tcPr>
            <w:tcW w:w="104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8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Land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Leasehold improvements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fixtures and equipment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Purchased software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Internally developed software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Total depreciation charged to expense in 2021, 2020 and 2019 amounted to $4,313,000, $4,471,000, and $4,227,000,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6</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Acquired Intangible Assets</w:t>
      </w:r>
    </w:p>
    <w:p>
      <w:pPr>
        <w:pStyle w:val="TextBody"/>
        <w:spacing w:lineRule="auto" w:line="288" w:before="200" w:after="283"/>
        <w:jc w:val="both"/>
        <w:rPr/>
      </w:pPr>
      <w:r>
        <w:rPr>
          <w:rFonts w:ascii="Times New Roman;sans-serif" w:hAnsi="Times New Roman;sans-serif"/>
          <w:b w:val="false"/>
          <w:color w:val="000000"/>
          <w:sz w:val="20"/>
          <w:highlight w:val="white"/>
        </w:rPr>
        <w:t xml:space="preserve">The Company accounts for intangible assets in accordance with FASB ASC 350, </w:t>
      </w:r>
      <w:r>
        <w:rPr>
          <w:rFonts w:ascii="Times New Roman;sans-serif" w:hAnsi="Times New Roman;sans-serif"/>
          <w:b w:val="false"/>
          <w:i/>
          <w:color w:val="000000"/>
          <w:sz w:val="20"/>
          <w:highlight w:val="white"/>
        </w:rPr>
        <w:t>Goodwill and Other Intangible Assets</w:t>
      </w:r>
      <w:r>
        <w:rPr>
          <w:rFonts w:ascii="Times New Roman;sans-serif" w:hAnsi="Times New Roman;sans-serif"/>
          <w:b w:val="false"/>
          <w:color w:val="000000"/>
          <w:sz w:val="20"/>
          <w:highlight w:val="white"/>
        </w:rPr>
        <w:t xml:space="preserve">, which requires that intangibles with indefinite useful lives be tested annually for impairment, or when management deems there is a triggering event, and those with finite useful lives be amortized over their useful lives.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intangible assets are as follows:</w:t>
      </w:r>
    </w:p>
    <w:tbl>
      <w:tblPr>
        <w:tblW w:w="9199" w:type="dxa"/>
        <w:jc w:val="center"/>
        <w:tblInd w:w="0" w:type="dxa"/>
        <w:tblCellMar>
          <w:top w:w="28" w:type="dxa"/>
          <w:left w:w="28" w:type="dxa"/>
          <w:bottom w:w="28" w:type="dxa"/>
          <w:right w:w="28" w:type="dxa"/>
        </w:tblCellMar>
      </w:tblPr>
      <w:tblGrid>
        <w:gridCol w:w="999"/>
        <w:gridCol w:w="879"/>
        <w:gridCol w:w="881"/>
        <w:gridCol w:w="292"/>
        <w:gridCol w:w="998"/>
        <w:gridCol w:w="150"/>
        <w:gridCol w:w="109"/>
        <w:gridCol w:w="109"/>
        <w:gridCol w:w="109"/>
        <w:gridCol w:w="276"/>
        <w:gridCol w:w="826"/>
        <w:gridCol w:w="144"/>
        <w:gridCol w:w="109"/>
        <w:gridCol w:w="109"/>
        <w:gridCol w:w="109"/>
        <w:gridCol w:w="292"/>
        <w:gridCol w:w="998"/>
        <w:gridCol w:w="150"/>
        <w:gridCol w:w="109"/>
        <w:gridCol w:w="109"/>
        <w:gridCol w:w="109"/>
        <w:gridCol w:w="211"/>
        <w:gridCol w:w="691"/>
        <w:gridCol w:w="431"/>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0"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r>
      <w:tr>
        <w:trPr/>
        <w:tc>
          <w:tcPr>
            <w:tcW w:w="275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eligible for amortization: </w:t>
            </w:r>
          </w:p>
        </w:tc>
        <w:tc>
          <w:tcPr>
            <w:tcW w:w="144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lists </w:t>
            </w:r>
          </w:p>
        </w:tc>
        <w:tc>
          <w:tcPr>
            <w:tcW w:w="29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w:t>
            </w:r>
          </w:p>
        </w:tc>
        <w:tc>
          <w:tcPr>
            <w:tcW w:w="129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w:t>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 </w:t>
            </w:r>
          </w:p>
        </w:tc>
        <w:tc>
          <w:tcPr>
            <w:tcW w:w="129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intangible assets: </w:t>
            </w:r>
          </w:p>
        </w:tc>
        <w:tc>
          <w:tcPr>
            <w:tcW w:w="14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intangible assets </w:t>
            </w:r>
          </w:p>
        </w:tc>
        <w:tc>
          <w:tcPr>
            <w:tcW w:w="2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22,978 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w:t>
            </w:r>
          </w:p>
        </w:tc>
        <w:tc>
          <w:tcPr>
            <w:tcW w:w="1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22,978 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lists are amortized over 7 and 10 years; patents over 18 years, software over 3 years and 7 years, trade name over 20 years and other intangible assets over 15 years. Amortization of intangible assets amounted to $859,000 for the years ended December 31, 2021, and 2020. Estimated future amortization of intangibles is $540,000 in both 2022 and 2023, $498,000 in 2024, $490,000 in 2025, and $342,000 in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TextBody"/>
        <w:spacing w:before="240" w:after="283"/>
        <w:rPr/>
      </w:pPr>
      <w:r>
        <w:rPr/>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w:t>
      </w:r>
    </w:p>
    <w:p>
      <w:pPr>
        <w:pStyle w:val="TextBody"/>
        <w:spacing w:lineRule="auto" w:line="288" w:before="20" w:after="283"/>
        <w:rPr>
          <w:rFonts w:ascii="Times New Roman;sans-serif" w:hAnsi="Times New Roman;sans-serif"/>
          <w:b/>
          <w:color w:val="000000"/>
          <w:sz w:val="20"/>
        </w:rPr>
      </w:pPr>
      <w:r>
        <w:rPr>
          <w:rFonts w:ascii="Times New Roman;sans-serif" w:hAnsi="Times New Roman;sans-serif"/>
          <w:b/>
          <w:color w:val="000000"/>
          <w:sz w:val="20"/>
        </w:rPr>
        <w:t>Interest-Bearing Deposits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consist of the following:</w:t>
      </w:r>
    </w:p>
    <w:tbl>
      <w:tblPr>
        <w:tblW w:w="5952" w:type="dxa"/>
        <w:jc w:val="left"/>
        <w:tblInd w:w="0" w:type="dxa"/>
        <w:tblCellMar>
          <w:top w:w="28" w:type="dxa"/>
          <w:left w:w="28" w:type="dxa"/>
          <w:bottom w:w="28" w:type="dxa"/>
          <w:right w:w="28" w:type="dxa"/>
        </w:tblCellMar>
      </w:tblPr>
      <w:tblGrid>
        <w:gridCol w:w="1031"/>
        <w:gridCol w:w="906"/>
        <w:gridCol w:w="912"/>
        <w:gridCol w:w="211"/>
        <w:gridCol w:w="826"/>
        <w:gridCol w:w="271"/>
        <w:gridCol w:w="109"/>
        <w:gridCol w:w="109"/>
        <w:gridCol w:w="109"/>
        <w:gridCol w:w="211"/>
        <w:gridCol w:w="826"/>
        <w:gridCol w:w="431"/>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8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Interest-bearing demand deposits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573,567 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480,283 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Savings deposits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21,084 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w:t>
            </w:r>
          </w:p>
        </w:tc>
        <w:tc>
          <w:tcPr>
            <w:tcW w:w="13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than $100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$100 to less than $250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30,648 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34,998 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firstLine="300"/>
              <w:jc w:val="left"/>
              <w:rPr/>
            </w:pPr>
            <w:r>
              <w:rPr>
                <w:rFonts w:ascii="Times New Roman;sans-serif" w:hAnsi="Times New Roman;sans-serif"/>
                <w:b w:val="false"/>
                <w:color w:val="000000"/>
                <w:sz w:val="20"/>
              </w:rPr>
              <w:t xml:space="preserve">$250 or more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16,896 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638,861 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557,352 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interest rate </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720"/>
        <w:jc w:val="both"/>
        <w:rPr/>
      </w:pPr>
      <w:r>
        <w:rPr>
          <w:rFonts w:ascii="Times New Roman;sans-serif" w:hAnsi="Times New Roman;sans-serif"/>
          <w:b/>
          <w:color w:val="000000"/>
          <w:sz w:val="20"/>
        </w:rPr>
        <w:t>(1)</w:t>
      </w:r>
      <w:r>
        <w:rPr>
          <w:rFonts w:ascii="Times New Roman;sans-serif" w:hAnsi="Times New Roman;sans-serif"/>
          <w:b w:val="false"/>
          <w:color w:val="000000"/>
          <w:sz w:val="20"/>
        </w:rPr>
        <w:t>The scheduled maturities of time deposits not covered by deposit insurance consist of $7,010,000 within one year and $5,990,000 within one to three years.</w:t>
      </w:r>
    </w:p>
    <w:tbl>
      <w:tblPr>
        <w:tblW w:w="6633" w:type="dxa"/>
        <w:jc w:val="center"/>
        <w:tblInd w:w="0" w:type="dxa"/>
        <w:tblCellMar>
          <w:top w:w="28" w:type="dxa"/>
          <w:left w:w="28" w:type="dxa"/>
          <w:bottom w:w="28" w:type="dxa"/>
          <w:right w:w="28" w:type="dxa"/>
        </w:tblCellMar>
      </w:tblPr>
      <w:tblGrid>
        <w:gridCol w:w="1031"/>
        <w:gridCol w:w="906"/>
        <w:gridCol w:w="912"/>
        <w:gridCol w:w="211"/>
        <w:gridCol w:w="616"/>
        <w:gridCol w:w="109"/>
        <w:gridCol w:w="109"/>
        <w:gridCol w:w="109"/>
        <w:gridCol w:w="109"/>
        <w:gridCol w:w="211"/>
        <w:gridCol w:w="616"/>
        <w:gridCol w:w="109"/>
        <w:gridCol w:w="109"/>
        <w:gridCol w:w="109"/>
        <w:gridCol w:w="109"/>
        <w:gridCol w:w="211"/>
        <w:gridCol w:w="616"/>
        <w:gridCol w:w="431"/>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4"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849"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Interest-bearing demand deposits </w:t>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431"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Savings deposits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w:t>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than $100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$100 to less than $250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$250 or more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scheduled maturities of time deposits are summarized as follows: </w:t>
      </w:r>
    </w:p>
    <w:tbl>
      <w:tblPr>
        <w:tblW w:w="6634" w:type="dxa"/>
        <w:jc w:val="center"/>
        <w:tblInd w:w="0" w:type="dxa"/>
        <w:tblCellMar>
          <w:top w:w="28" w:type="dxa"/>
          <w:left w:w="28" w:type="dxa"/>
          <w:bottom w:w="28" w:type="dxa"/>
          <w:right w:w="28" w:type="dxa"/>
        </w:tblCellMar>
      </w:tblPr>
      <w:tblGrid>
        <w:gridCol w:w="467"/>
        <w:gridCol w:w="411"/>
        <w:gridCol w:w="412"/>
        <w:gridCol w:w="211"/>
        <w:gridCol w:w="721"/>
        <w:gridCol w:w="109"/>
        <w:gridCol w:w="109"/>
        <w:gridCol w:w="109"/>
        <w:gridCol w:w="109"/>
        <w:gridCol w:w="307"/>
        <w:gridCol w:w="309"/>
        <w:gridCol w:w="433"/>
        <w:gridCol w:w="109"/>
        <w:gridCol w:w="109"/>
        <w:gridCol w:w="109"/>
        <w:gridCol w:w="211"/>
        <w:gridCol w:w="721"/>
        <w:gridCol w:w="109"/>
        <w:gridCol w:w="109"/>
        <w:gridCol w:w="109"/>
        <w:gridCol w:w="109"/>
        <w:gridCol w:w="307"/>
        <w:gridCol w:w="309"/>
        <w:gridCol w:w="616"/>
      </w:tblGrid>
      <w:tr>
        <w:trPr/>
        <w:tc>
          <w:tcPr>
            <w:tcW w:w="4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of Total</w:t>
            </w:r>
          </w:p>
        </w:tc>
      </w:tr>
      <w:tr>
        <w:trPr/>
        <w:tc>
          <w:tcPr>
            <w:tcW w:w="129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within: </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year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43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ind w:left="0" w:right="0" w:firstLine="3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Two years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33"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616" w:type="dxa"/>
            <w:tcBorders/>
            <w:shd w:fill="DBDBDB" w:val="clear"/>
            <w:tcMar>
              <w:top w:w="0" w:type="dxa"/>
              <w:left w:w="0" w:type="dxa"/>
              <w:bottom w:w="0" w:type="dxa"/>
              <w:right w:w="0" w:type="dxa"/>
            </w:tcMar>
            <w:vAlign w:val="center"/>
          </w:tcPr>
          <w:p>
            <w:pPr>
              <w:pStyle w:val="TableContents"/>
              <w:spacing w:lineRule="auto" w:line="273" w:before="0" w:after="283"/>
              <w:ind w:left="0" w:right="0" w:firstLine="3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Three years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3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ind w:left="0" w:right="0" w:firstLine="3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 years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33"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616" w:type="dxa"/>
            <w:tcBorders/>
            <w:shd w:fill="DBDBDB" w:val="clear"/>
            <w:tcMar>
              <w:top w:w="0" w:type="dxa"/>
              <w:left w:w="0" w:type="dxa"/>
              <w:bottom w:w="0" w:type="dxa"/>
              <w:right w:w="0" w:type="dxa"/>
            </w:tcMar>
            <w:vAlign w:val="center"/>
          </w:tcPr>
          <w:p>
            <w:pPr>
              <w:pStyle w:val="TableContents"/>
              <w:spacing w:lineRule="auto" w:line="273" w:before="0" w:after="283"/>
              <w:ind w:left="0" w:right="0" w:firstLine="3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Five years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8</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Unused Available Lines of Credit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Bank had unsecured lines of credit at six correspondent banks to purchase federal funds up to a maximum of $83,000,000 in aggregate. As of December 31, 2021, the Bank had secured lines of credit with the Federal Home Loan Bank of $228,849,000 collateralized by commercial mortgage loans. At December 31, 2021, the Company had lines of credit from two banks up to a maximum of $150,000,000 in aggregate collateralized by state and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political subdivision securities. There were no amounts outstanding at December 31, 2021, and 2020 under any of the lines of credit.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Common Stock and Earnings per Share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shows activity in the outstanding shares of the Company’s common stock during 2021.</w:t>
      </w:r>
    </w:p>
    <w:tbl>
      <w:tblPr>
        <w:tblW w:w="4797" w:type="dxa"/>
        <w:jc w:val="left"/>
        <w:tblInd w:w="0" w:type="dxa"/>
        <w:tblCellMar>
          <w:top w:w="28" w:type="dxa"/>
          <w:left w:w="28" w:type="dxa"/>
          <w:bottom w:w="28" w:type="dxa"/>
          <w:right w:w="28" w:type="dxa"/>
        </w:tblCellMar>
      </w:tblPr>
      <w:tblGrid>
        <w:gridCol w:w="1190"/>
        <w:gridCol w:w="1046"/>
        <w:gridCol w:w="1049"/>
        <w:gridCol w:w="540"/>
        <w:gridCol w:w="541"/>
        <w:gridCol w:w="431"/>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85"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outstanding at January 1 </w:t>
            </w:r>
          </w:p>
        </w:tc>
        <w:tc>
          <w:tcPr>
            <w:tcW w:w="108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14,392,669 </w:t>
            </w:r>
          </w:p>
        </w:tc>
        <w:tc>
          <w:tcPr>
            <w:tcW w:w="431"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512"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restricted stock grants </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restricted stock units vested </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stock vested</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SARs exercised </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stock grants</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repurchased </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(713,857)</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forfeited </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outstanding at December 31 </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13,734,295 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earnings per share are as follows:</w:t>
      </w:r>
    </w:p>
    <w:tbl>
      <w:tblPr>
        <w:tblW w:w="10205" w:type="dxa"/>
        <w:jc w:val="center"/>
        <w:tblInd w:w="0" w:type="dxa"/>
        <w:tblCellMar>
          <w:top w:w="28" w:type="dxa"/>
          <w:left w:w="28" w:type="dxa"/>
          <w:bottom w:w="28" w:type="dxa"/>
          <w:right w:w="28" w:type="dxa"/>
        </w:tblCellMar>
      </w:tblPr>
      <w:tblGrid>
        <w:gridCol w:w="1842"/>
        <w:gridCol w:w="1605"/>
        <w:gridCol w:w="1610"/>
        <w:gridCol w:w="244"/>
        <w:gridCol w:w="837"/>
        <w:gridCol w:w="109"/>
        <w:gridCol w:w="109"/>
        <w:gridCol w:w="109"/>
        <w:gridCol w:w="109"/>
        <w:gridCol w:w="244"/>
        <w:gridCol w:w="837"/>
        <w:gridCol w:w="109"/>
        <w:gridCol w:w="109"/>
        <w:gridCol w:w="109"/>
        <w:gridCol w:w="109"/>
        <w:gridCol w:w="244"/>
        <w:gridCol w:w="837"/>
        <w:gridCol w:w="1033"/>
      </w:tblGrid>
      <w:tr>
        <w:trPr/>
        <w:tc>
          <w:tcPr>
            <w:tcW w:w="1842"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r>
      <w:tr>
        <w:trPr/>
        <w:tc>
          <w:tcPr>
            <w:tcW w:w="50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8" w:type="dxa"/>
            <w:gridSpan w:val="1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05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033"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14,091,773 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14,434,445 </w:t>
            </w:r>
          </w:p>
        </w:tc>
        <w:tc>
          <w:tcPr>
            <w:tcW w:w="1033" w:type="dxa"/>
            <w:tcBorders/>
            <w:shd w:fill="DBDBDB"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w:t>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190"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033"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14,091,773 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14,434,445 </w:t>
            </w:r>
          </w:p>
        </w:tc>
        <w:tc>
          <w:tcPr>
            <w:tcW w:w="1033"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performance based restricted stock</w:t>
            </w:r>
          </w:p>
          <w:p>
            <w:pPr>
              <w:pStyle w:val="TableContents"/>
              <w:spacing w:lineRule="auto" w:line="273" w:before="0" w:after="0"/>
              <w:jc w:val="left"/>
              <w:rPr>
                <w:color w:val="000000"/>
              </w:rPr>
            </w:pPr>
            <w:r>
              <w:rPr>
                <w:color w:val="000000"/>
              </w:rPr>
              <w:t> </w:t>
            </w:r>
            <w:r>
              <w:rPr>
                <w:rFonts w:ascii="Times New Roman;sans-serif" w:hAnsi="Times New Roman;sans-serif"/>
                <w:b w:val="false"/>
                <w:color w:val="000000"/>
                <w:sz w:val="20"/>
              </w:rPr>
              <w:t xml:space="preserve">(“PBRS”), and SARs </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257,480 </w:t>
            </w:r>
          </w:p>
        </w:tc>
        <w:tc>
          <w:tcPr>
            <w:tcW w:w="1033"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05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assuming dilution </w:t>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14,329,876 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14,566,947 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14,691,925 </w:t>
            </w:r>
          </w:p>
        </w:tc>
        <w:tc>
          <w:tcPr>
            <w:tcW w:w="1033" w:type="dxa"/>
            <w:tcBorders/>
            <w:shd w:fill="DBDBDB" w:val="clear"/>
            <w:tcMar>
              <w:top w:w="0" w:type="dxa"/>
              <w:left w:w="0" w:type="dxa"/>
              <w:bottom w:w="0" w:type="dxa"/>
              <w:right w:w="0" w:type="dxa"/>
            </w:tcMar>
            <w:vAlign w:val="center"/>
          </w:tcPr>
          <w:p>
            <w:pPr>
              <w:pStyle w:val="TableContents"/>
              <w:spacing w:before="0" w:after="283"/>
              <w:ind w:left="0" w:right="0" w:firstLine="900"/>
              <w:rPr>
                <w:sz w:val="4"/>
                <w:szCs w:val="4"/>
              </w:rPr>
            </w:pPr>
            <w:r>
              <w:rPr>
                <w:sz w:val="4"/>
                <w:szCs w:val="4"/>
              </w:rPr>
            </w:r>
          </w:p>
        </w:tc>
      </w:tr>
      <w:tr>
        <w:trPr/>
        <w:tc>
          <w:tcPr>
            <w:tcW w:w="505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3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Employee Benefit Plans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noncontributory defined-benefit pension plan (the “Plan”), which covers eligible employees. Effective December 31, 2016, the Plan was closed to all new participants. Additionally, the Company froze the benefits of the Plan as of February 28, 2021. As such, subsequent to February 28, 2021, there is no service cost associated with the Plan. The Company accrues and makes contributions designed to fund normal service costs on a current basis using the projected unit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with service proration method to amortize prior service costs arising from improvements in pension benefits and qualifying service prior to the establishment of the Plan over a period of approximately 30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in the Plan’s projected benefit obligation, assets, funded status and amounts recognized in the Company’s consolidated balance sheets is as follows:</w:t>
      </w:r>
    </w:p>
    <w:tbl>
      <w:tblPr>
        <w:tblW w:w="5773" w:type="dxa"/>
        <w:jc w:val="left"/>
        <w:tblInd w:w="0" w:type="dxa"/>
        <w:tblCellMar>
          <w:top w:w="28" w:type="dxa"/>
          <w:left w:w="28" w:type="dxa"/>
          <w:bottom w:w="28" w:type="dxa"/>
          <w:right w:w="28" w:type="dxa"/>
        </w:tblCellMar>
      </w:tblPr>
      <w:tblGrid>
        <w:gridCol w:w="907"/>
        <w:gridCol w:w="798"/>
        <w:gridCol w:w="800"/>
        <w:gridCol w:w="109"/>
        <w:gridCol w:w="109"/>
        <w:gridCol w:w="109"/>
        <w:gridCol w:w="211"/>
        <w:gridCol w:w="826"/>
        <w:gridCol w:w="109"/>
        <w:gridCol w:w="109"/>
        <w:gridCol w:w="109"/>
        <w:gridCol w:w="109"/>
        <w:gridCol w:w="211"/>
        <w:gridCol w:w="826"/>
        <w:gridCol w:w="431"/>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505"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Projected benefit obligation: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January 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119,827 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cost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(gain) loss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 amendments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Benefits paid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122,035 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 assets: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January 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94,634 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return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14,826 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Employer contribution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Benefits paid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December 31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106,667 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Funded status: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pension liability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(15,368)</w:t>
            </w:r>
          </w:p>
        </w:tc>
        <w:tc>
          <w:tcPr>
            <w:tcW w:w="43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the major assumptions used to determine the projected benefit obligation of the Plan. For 2021, 2020 and 2019, the Plan’s expected benefit cash flows were discounted using the FTSE Above Median Double-A Curve. For 2021, the Pri-2012 Mortality Table and MP-2022 Mortality Improvement Scale were used. For 2020, the Pri-2012 Mortality Table and MP-2020 Mortality Improvement Scale were used. For 2019, the Pri-2012 Mortality Table and MP-2019 Mortality Improvement Scale were used.</w:t>
      </w:r>
    </w:p>
    <w:tbl>
      <w:tblPr>
        <w:tblW w:w="6811" w:type="dxa"/>
        <w:jc w:val="left"/>
        <w:tblInd w:w="0" w:type="dxa"/>
        <w:tblCellMar>
          <w:top w:w="28" w:type="dxa"/>
          <w:left w:w="28" w:type="dxa"/>
          <w:bottom w:w="28" w:type="dxa"/>
          <w:right w:w="28" w:type="dxa"/>
        </w:tblCellMar>
      </w:tblPr>
      <w:tblGrid>
        <w:gridCol w:w="1223"/>
        <w:gridCol w:w="1072"/>
        <w:gridCol w:w="1079"/>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22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374"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discount rate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39"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increase in compensation levels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(a)6.0% graded down to 3.25% over the first seven years of service.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was $117,323,000 and $121,095,000 as of December 31, 2021 and 2020, respectively. The Company made a contribution of $330,000 during 2021, while in 2020 there was no contribution made to the Plan. The Company has not determined if it will make a contribution to the Plan in 2022. The following pension benefit payments, which reflect expected future service, as appropriate, are expected to be paid by the Plan:</w:t>
      </w:r>
    </w:p>
    <w:tbl>
      <w:tblPr>
        <w:tblW w:w="2732" w:type="dxa"/>
        <w:jc w:val="left"/>
        <w:tblInd w:w="0" w:type="dxa"/>
        <w:tblCellMar>
          <w:top w:w="28" w:type="dxa"/>
          <w:left w:w="28" w:type="dxa"/>
          <w:bottom w:w="28" w:type="dxa"/>
          <w:right w:w="28" w:type="dxa"/>
        </w:tblCellMar>
      </w:tblPr>
      <w:tblGrid>
        <w:gridCol w:w="384"/>
        <w:gridCol w:w="338"/>
        <w:gridCol w:w="342"/>
        <w:gridCol w:w="109"/>
        <w:gridCol w:w="109"/>
        <w:gridCol w:w="109"/>
        <w:gridCol w:w="211"/>
        <w:gridCol w:w="976"/>
        <w:gridCol w:w="154"/>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064"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3,771,000 </w:t>
            </w:r>
          </w:p>
        </w:tc>
        <w:tc>
          <w:tcPr>
            <w:tcW w:w="154"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2026-2030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26,978,000 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Plan’s pension cost included the following components:</w:t>
      </w:r>
    </w:p>
    <w:tbl>
      <w:tblPr>
        <w:tblW w:w="7748" w:type="dxa"/>
        <w:jc w:val="left"/>
        <w:tblInd w:w="0" w:type="dxa"/>
        <w:tblCellMar>
          <w:top w:w="28" w:type="dxa"/>
          <w:left w:w="28" w:type="dxa"/>
          <w:bottom w:w="28" w:type="dxa"/>
          <w:right w:w="28" w:type="dxa"/>
        </w:tblCellMar>
      </w:tblPr>
      <w:tblGrid>
        <w:gridCol w:w="1390"/>
        <w:gridCol w:w="1223"/>
        <w:gridCol w:w="1226"/>
        <w:gridCol w:w="109"/>
        <w:gridCol w:w="109"/>
        <w:gridCol w:w="109"/>
        <w:gridCol w:w="211"/>
        <w:gridCol w:w="691"/>
        <w:gridCol w:w="109"/>
        <w:gridCol w:w="109"/>
        <w:gridCol w:w="109"/>
        <w:gridCol w:w="109"/>
        <w:gridCol w:w="211"/>
        <w:gridCol w:w="616"/>
        <w:gridCol w:w="109"/>
        <w:gridCol w:w="109"/>
        <w:gridCol w:w="109"/>
        <w:gridCol w:w="109"/>
        <w:gridCol w:w="211"/>
        <w:gridCol w:w="616"/>
        <w:gridCol w:w="154"/>
      </w:tblGrid>
      <w:tr>
        <w:trPr/>
        <w:tc>
          <w:tcPr>
            <w:tcW w:w="1390"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83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cost – benefits earned during the year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on projected benefit obligations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return on plan assets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amortization and deferral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pension (benefit) cost </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represent the major assumptions used to determine the net pension cost of the Plan: </w:t>
      </w:r>
    </w:p>
    <w:tbl>
      <w:tblPr>
        <w:tblW w:w="7051" w:type="dxa"/>
        <w:jc w:val="left"/>
        <w:tblInd w:w="0" w:type="dxa"/>
        <w:tblCellMar>
          <w:top w:w="28" w:type="dxa"/>
          <w:left w:w="28" w:type="dxa"/>
          <w:bottom w:w="28" w:type="dxa"/>
          <w:right w:w="28" w:type="dxa"/>
        </w:tblCellMar>
      </w:tblPr>
      <w:tblGrid>
        <w:gridCol w:w="1310"/>
        <w:gridCol w:w="1148"/>
        <w:gridCol w:w="1156"/>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31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614"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discount rate </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92"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39"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increase in compensation levels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 )</w:t>
            </w:r>
          </w:p>
        </w:tc>
      </w:tr>
      <w:tr>
        <w:trPr/>
        <w:tc>
          <w:tcPr>
            <w:tcW w:w="3614"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long-term rate of return on assets </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2"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2"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51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39"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(a)6.0% graded down to 3.25% over the first seven years of service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2021, the Pri-2012 Mortality Table and the MP-2020 Mortality Improvement Table were used. For 2020, the Pri-2012 Mortality Table and the MP-2019 Mortality Improvement Table were used. For 2019, the RP-2014 Mortality Table and the MP-2018 Mortality Improvement Table were used.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objective for the Plan is to maximize total return with a tolerance for average risk. Asset allocation is a balance between fixed income and equity investments, with a target allocation of approximately 51% fixed income, 23% U.S. equity and 26% non-U.S. equity.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tbl>
      <w:tblPr>
        <w:tblW w:w="8375" w:type="dxa"/>
        <w:jc w:val="center"/>
        <w:tblInd w:w="0" w:type="dxa"/>
        <w:tblCellMar>
          <w:top w:w="28" w:type="dxa"/>
          <w:left w:w="28" w:type="dxa"/>
          <w:bottom w:w="28" w:type="dxa"/>
          <w:right w:w="28" w:type="dxa"/>
        </w:tblCellMar>
      </w:tblPr>
      <w:tblGrid>
        <w:gridCol w:w="822"/>
        <w:gridCol w:w="718"/>
        <w:gridCol w:w="725"/>
        <w:gridCol w:w="109"/>
        <w:gridCol w:w="109"/>
        <w:gridCol w:w="109"/>
        <w:gridCol w:w="407"/>
        <w:gridCol w:w="407"/>
        <w:gridCol w:w="1015"/>
        <w:gridCol w:w="109"/>
        <w:gridCol w:w="109"/>
        <w:gridCol w:w="109"/>
        <w:gridCol w:w="380"/>
        <w:gridCol w:w="380"/>
        <w:gridCol w:w="950"/>
        <w:gridCol w:w="109"/>
        <w:gridCol w:w="109"/>
        <w:gridCol w:w="109"/>
        <w:gridCol w:w="324"/>
        <w:gridCol w:w="324"/>
        <w:gridCol w:w="942"/>
      </w:tblGrid>
      <w:tr>
        <w:trPr/>
        <w:tc>
          <w:tcPr>
            <w:tcW w:w="82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Asset Class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of Total Portfolio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One-Year Nominal</w:t>
              <w:br/>
              <w:t>Return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Annual Standard</w:t>
              <w:br/>
              <w:t>Deviation</w:t>
            </w:r>
          </w:p>
        </w:tc>
      </w:tr>
      <w:tr>
        <w:trPr/>
        <w:tc>
          <w:tcPr>
            <w:tcW w:w="226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Core Fixed Income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1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9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94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Cap U.S. Equities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1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95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94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 Cap U.S. Equities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15"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950"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942"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(Developed)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1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95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94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(Emerging) </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814"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15"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760"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950"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648"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942"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Applying appropriate correlation factors between each of the asset classes the long-term rate of return on assets is estimated to be 6.00%.</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fair value measurements by type of asset is as follows:</w:t>
      </w:r>
    </w:p>
    <w:tbl>
      <w:tblPr>
        <w:tblW w:w="10205" w:type="dxa"/>
        <w:jc w:val="center"/>
        <w:tblInd w:w="0" w:type="dxa"/>
        <w:tblCellMar>
          <w:top w:w="28" w:type="dxa"/>
          <w:left w:w="28" w:type="dxa"/>
          <w:bottom w:w="28" w:type="dxa"/>
          <w:right w:w="28" w:type="dxa"/>
        </w:tblCellMar>
      </w:tblPr>
      <w:tblGrid>
        <w:gridCol w:w="678"/>
        <w:gridCol w:w="392"/>
        <w:gridCol w:w="393"/>
        <w:gridCol w:w="109"/>
        <w:gridCol w:w="109"/>
        <w:gridCol w:w="109"/>
        <w:gridCol w:w="211"/>
        <w:gridCol w:w="826"/>
        <w:gridCol w:w="109"/>
        <w:gridCol w:w="109"/>
        <w:gridCol w:w="109"/>
        <w:gridCol w:w="109"/>
        <w:gridCol w:w="250"/>
        <w:gridCol w:w="554"/>
        <w:gridCol w:w="131"/>
        <w:gridCol w:w="109"/>
        <w:gridCol w:w="109"/>
        <w:gridCol w:w="109"/>
        <w:gridCol w:w="211"/>
        <w:gridCol w:w="826"/>
        <w:gridCol w:w="109"/>
        <w:gridCol w:w="109"/>
        <w:gridCol w:w="109"/>
        <w:gridCol w:w="109"/>
        <w:gridCol w:w="211"/>
        <w:gridCol w:w="826"/>
        <w:gridCol w:w="109"/>
        <w:gridCol w:w="109"/>
        <w:gridCol w:w="109"/>
        <w:gridCol w:w="109"/>
        <w:gridCol w:w="250"/>
        <w:gridCol w:w="554"/>
        <w:gridCol w:w="131"/>
        <w:gridCol w:w="109"/>
        <w:gridCol w:w="109"/>
        <w:gridCol w:w="109"/>
        <w:gridCol w:w="211"/>
        <w:gridCol w:w="826"/>
        <w:gridCol w:w="435"/>
      </w:tblGrid>
      <w:tr>
        <w:trPr/>
        <w:tc>
          <w:tcPr>
            <w:tcW w:w="67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5"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w:t>
            </w:r>
          </w:p>
        </w:tc>
      </w:tr>
      <w:tr>
        <w:trPr/>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1"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07"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w:t>
              <w:b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w:t>
              <w:b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Observable</w:t>
              <w:br/>
              <w:t>Inputs</w:t>
              <w:br/>
              <w:t>(Level 2)</w:t>
            </w:r>
          </w:p>
        </w:tc>
      </w:tr>
      <w:tr>
        <w:trPr/>
        <w:tc>
          <w:tcPr>
            <w:tcW w:w="146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3"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securities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DBDBDB"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Small/Mid Cap Growth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435"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Non-U. S. Core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26,342 </w:t>
            </w:r>
          </w:p>
        </w:tc>
        <w:tc>
          <w:tcPr>
            <w:tcW w:w="435"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Large Cap Passive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17,520 </w:t>
            </w:r>
          </w:p>
        </w:tc>
        <w:tc>
          <w:tcPr>
            <w:tcW w:w="435"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Markets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4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Core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23,467 </w:t>
            </w:r>
          </w:p>
        </w:tc>
        <w:tc>
          <w:tcPr>
            <w:tcW w:w="435"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Passive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21,680 </w:t>
            </w:r>
          </w:p>
        </w:tc>
        <w:tc>
          <w:tcPr>
            <w:tcW w:w="435"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463"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Opportunistic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4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106,183 </w:t>
            </w:r>
          </w:p>
        </w:tc>
        <w:tc>
          <w:tcPr>
            <w:tcW w:w="4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Supplemental Executive Retirement Plan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in the SERP’s projected benefit obligation and amounts recognized in the Company’s consolidated balance sheets is as follows:</w:t>
      </w:r>
    </w:p>
    <w:tbl>
      <w:tblPr>
        <w:tblW w:w="5038" w:type="dxa"/>
        <w:jc w:val="left"/>
        <w:tblInd w:w="0" w:type="dxa"/>
        <w:tblCellMar>
          <w:top w:w="28" w:type="dxa"/>
          <w:left w:w="28" w:type="dxa"/>
          <w:bottom w:w="28" w:type="dxa"/>
          <w:right w:w="28" w:type="dxa"/>
        </w:tblCellMar>
      </w:tblPr>
      <w:tblGrid>
        <w:gridCol w:w="717"/>
        <w:gridCol w:w="630"/>
        <w:gridCol w:w="633"/>
        <w:gridCol w:w="109"/>
        <w:gridCol w:w="109"/>
        <w:gridCol w:w="109"/>
        <w:gridCol w:w="211"/>
        <w:gridCol w:w="721"/>
        <w:gridCol w:w="109"/>
        <w:gridCol w:w="109"/>
        <w:gridCol w:w="109"/>
        <w:gridCol w:w="109"/>
        <w:gridCol w:w="211"/>
        <w:gridCol w:w="721"/>
        <w:gridCol w:w="431"/>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1"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9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obligation: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January 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98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cost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98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Benefits paid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(gain)/loss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the major assumptions used to determine the projected benefit obligation of the SERP. For 2021, 2020 and 2019, the SERP’s expected benefit cash flows were discounted using the FTSE Above Median Double-A Curve.</w:t>
      </w:r>
    </w:p>
    <w:tbl>
      <w:tblPr>
        <w:tblW w:w="6811" w:type="dxa"/>
        <w:jc w:val="center"/>
        <w:tblInd w:w="0" w:type="dxa"/>
        <w:tblCellMar>
          <w:top w:w="28" w:type="dxa"/>
          <w:left w:w="28" w:type="dxa"/>
          <w:bottom w:w="28" w:type="dxa"/>
          <w:right w:w="28" w:type="dxa"/>
        </w:tblCellMar>
      </w:tblPr>
      <w:tblGrid>
        <w:gridCol w:w="1223"/>
        <w:gridCol w:w="1072"/>
        <w:gridCol w:w="1079"/>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22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discount rate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increase in compensation levels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5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(a)6.00% graded down to 3.25% over the first seven years of service.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was $12,420,000 and $12,492,000 as of December 31, 2021 and 2020, respectively. Since this is an unfunded plan, there are no plan assets. Benefits paid were $282,000 in 2021, $291,000 in 2020, and $262,000 in 2019. Expected future benefits payable by the Company over the next ten years are as follows:</w:t>
      </w:r>
    </w:p>
    <w:tbl>
      <w:tblPr>
        <w:tblW w:w="2732" w:type="dxa"/>
        <w:jc w:val="left"/>
        <w:tblInd w:w="0" w:type="dxa"/>
        <w:tblCellMar>
          <w:top w:w="28" w:type="dxa"/>
          <w:left w:w="28" w:type="dxa"/>
          <w:bottom w:w="28" w:type="dxa"/>
          <w:right w:w="28" w:type="dxa"/>
        </w:tblCellMar>
      </w:tblPr>
      <w:tblGrid>
        <w:gridCol w:w="384"/>
        <w:gridCol w:w="338"/>
        <w:gridCol w:w="342"/>
        <w:gridCol w:w="109"/>
        <w:gridCol w:w="109"/>
        <w:gridCol w:w="109"/>
        <w:gridCol w:w="211"/>
        <w:gridCol w:w="976"/>
        <w:gridCol w:w="154"/>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06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2026-2030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3,878,000 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 related to the SERP included the following components:</w:t>
      </w:r>
    </w:p>
    <w:tbl>
      <w:tblPr>
        <w:tblW w:w="7223" w:type="dxa"/>
        <w:jc w:val="left"/>
        <w:tblInd w:w="0" w:type="dxa"/>
        <w:tblCellMar>
          <w:top w:w="28" w:type="dxa"/>
          <w:left w:w="28" w:type="dxa"/>
          <w:bottom w:w="28" w:type="dxa"/>
          <w:right w:w="28" w:type="dxa"/>
        </w:tblCellMar>
      </w:tblPr>
      <w:tblGrid>
        <w:gridCol w:w="1390"/>
        <w:gridCol w:w="1223"/>
        <w:gridCol w:w="122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390"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83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cost – benefits earned during the year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on projected benefit obligations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amortization and deferral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pension cost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pretax amounts in accumulated other comprehensive loss as of December 31 were as follows:</w:t>
      </w:r>
    </w:p>
    <w:tbl>
      <w:tblPr>
        <w:tblW w:w="7039" w:type="dxa"/>
        <w:jc w:val="left"/>
        <w:tblInd w:w="0" w:type="dxa"/>
        <w:tblCellMar>
          <w:top w:w="28" w:type="dxa"/>
          <w:left w:w="28" w:type="dxa"/>
          <w:bottom w:w="28" w:type="dxa"/>
          <w:right w:w="28" w:type="dxa"/>
        </w:tblCellMar>
      </w:tblPr>
      <w:tblGrid>
        <w:gridCol w:w="565"/>
        <w:gridCol w:w="497"/>
        <w:gridCol w:w="498"/>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431"/>
      </w:tblGrid>
      <w:tr>
        <w:trPr/>
        <w:tc>
          <w:tcPr>
            <w:tcW w:w="56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1" w:type="dxa"/>
            <w:gridSpan w:val="9"/>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SERP</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56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service cost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actuarial loss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156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pretax prior service cost and net actuarial loss in accumulated other comprehensive loss at December 31, 2021 expected to be recognized as components of net periodic benefit cost in 2022 for the Plan are both $0. The estimated pretax prior service cost and net actuarial loss in accumulated other comprehensive loss at December 31, 2021 expected to be recognized as components of net periodic benefit cost in 2022 for the SERP are $0 and $108,000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2021, 2020, and 2019 was $6,436,000, $5,665,000, and $6,841,000,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a defined contribution 401(k) plan to provide additional retirement benefits to substantially all employees. Contributions under the 401(k) plan for 2021, 2020 and 2019 were $3,488,000, $1,508,000, and $1,378,000, respectively. In conjunction with the freezing of the Plan, contribution rates to employees increased on March 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11</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1,500,000 shares of the Company’s common stock in the form of stock options, SARs, restricted stock, restricted stock units and performance awards.</w:t>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Changes in restricted shares outstanding for the year ended December 31, 2021 were as follows:</w:t>
      </w:r>
    </w:p>
    <w:tbl>
      <w:tblPr>
        <w:tblW w:w="6040" w:type="dxa"/>
        <w:jc w:val="left"/>
        <w:tblInd w:w="0" w:type="dxa"/>
        <w:tblCellMar>
          <w:top w:w="28" w:type="dxa"/>
          <w:left w:w="28" w:type="dxa"/>
          <w:bottom w:w="28" w:type="dxa"/>
          <w:right w:w="28" w:type="dxa"/>
        </w:tblCellMar>
      </w:tblPr>
      <w:tblGrid>
        <w:gridCol w:w="940"/>
        <w:gridCol w:w="826"/>
        <w:gridCol w:w="828"/>
        <w:gridCol w:w="109"/>
        <w:gridCol w:w="109"/>
        <w:gridCol w:w="109"/>
        <w:gridCol w:w="413"/>
        <w:gridCol w:w="413"/>
        <w:gridCol w:w="241"/>
        <w:gridCol w:w="109"/>
        <w:gridCol w:w="109"/>
        <w:gridCol w:w="109"/>
        <w:gridCol w:w="289"/>
        <w:gridCol w:w="845"/>
        <w:gridCol w:w="591"/>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w:t>
              <w:br/>
              <w:t>Fair Value</w:t>
            </w:r>
          </w:p>
        </w:tc>
      </w:tr>
      <w:tr>
        <w:trPr/>
        <w:tc>
          <w:tcPr>
            <w:tcW w:w="259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136,167 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59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(23,782)</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59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165,553 </w:t>
            </w:r>
          </w:p>
        </w:tc>
        <w:tc>
          <w:tcPr>
            <w:tcW w:w="2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5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and 2019, 38,226 and 36,812 shares, respectively, were granted with weighted average per share market values at date of grant of $47.07 in 2020 and $49.30 in 2019. The fair value of such shares are based on the market price on the date of grant. Amortization of the restricted stock bonus awards totaled $1,793,000 for 2021, $1,463,000 for 2020 and $1,551,000 for 2019. As of December 31, 2021, the total unrecognized compensation expense related to non-vested restricted stock awards was $1,647,000, and the related weighted average period over which it is expected to be recognized is approximately 0.57 years. The total fair value of shares vested during the years ended December 2021, 2020, and 2019 was $1,152,000, $1,005,000, and $527,000, respectively.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Performance-Based Restricted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the activity of the PBRS, based on 100% of target value:</w:t>
      </w:r>
    </w:p>
    <w:tbl>
      <w:tblPr>
        <w:tblW w:w="5204" w:type="dxa"/>
        <w:jc w:val="left"/>
        <w:tblInd w:w="0" w:type="dxa"/>
        <w:tblCellMar>
          <w:top w:w="28" w:type="dxa"/>
          <w:left w:w="28" w:type="dxa"/>
          <w:bottom w:w="28" w:type="dxa"/>
          <w:right w:w="28" w:type="dxa"/>
        </w:tblCellMar>
      </w:tblPr>
      <w:tblGrid>
        <w:gridCol w:w="956"/>
        <w:gridCol w:w="841"/>
        <w:gridCol w:w="843"/>
        <w:gridCol w:w="411"/>
        <w:gridCol w:w="415"/>
        <w:gridCol w:w="226"/>
        <w:gridCol w:w="126"/>
        <w:gridCol w:w="126"/>
        <w:gridCol w:w="126"/>
        <w:gridCol w:w="244"/>
        <w:gridCol w:w="712"/>
        <w:gridCol w:w="178"/>
      </w:tblGrid>
      <w:tr>
        <w:trPr/>
        <w:tc>
          <w:tcPr>
            <w:tcW w:w="9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9"/>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w:t>
            </w:r>
          </w:p>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2020 </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98,410 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2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22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2021 </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116,543 </w:t>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7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PBRS that vested during the year ended December 31, 2021 achieved financial goals of 94.4%, resulting in the issuance of 31,150 shares of common stock. The PBRS that vested during the year ended December 31, 2020 achieved financial goals of 117.3%, resulting in the issuance of 34,222 shares of common stock. The outstanding PBRS at December 31, 2021 will vest at scheduled vesting dates and the actual number of shares of common stock issued will range from 0% to 150% of the target opportunity based on the actual achievement of financial goals for the respective three-year performance period.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there were no SARs granted and no expense recognized. As of December 31, 2021, there was no unrecognized compensation expense related to SARs.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SARs outstanding for the year ended December 31, 2021 were as follows: </w:t>
      </w:r>
    </w:p>
    <w:tbl>
      <w:tblPr>
        <w:tblW w:w="7233" w:type="dxa"/>
        <w:jc w:val="left"/>
        <w:tblInd w:w="0" w:type="dxa"/>
        <w:tblCellMar>
          <w:top w:w="28" w:type="dxa"/>
          <w:left w:w="28" w:type="dxa"/>
          <w:bottom w:w="28" w:type="dxa"/>
          <w:right w:w="28" w:type="dxa"/>
        </w:tblCellMar>
      </w:tblPr>
      <w:tblGrid>
        <w:gridCol w:w="1044"/>
        <w:gridCol w:w="916"/>
        <w:gridCol w:w="919"/>
        <w:gridCol w:w="413"/>
        <w:gridCol w:w="413"/>
        <w:gridCol w:w="201"/>
        <w:gridCol w:w="109"/>
        <w:gridCol w:w="109"/>
        <w:gridCol w:w="109"/>
        <w:gridCol w:w="503"/>
        <w:gridCol w:w="1469"/>
        <w:gridCol w:w="1028"/>
      </w:tblGrid>
      <w:tr>
        <w:trPr/>
        <w:tc>
          <w:tcPr>
            <w:tcW w:w="104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28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144,999 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2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(25,822)</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82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2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0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2021 </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2021</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117,089 </w:t>
            </w:r>
          </w:p>
        </w:tc>
        <w:tc>
          <w:tcPr>
            <w:tcW w:w="2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2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SARs exercised during 2021 and 2020 was $630,000 and $275,000, respectively. The average remaining contractual term for SARs outstanding as of December 31, 2021 was 1.21 years, and the aggregate intrinsic value was $741,000. The average remaining contractual term for SARs outstanding as of December 31, 2020 was 1.95 years, and the aggregate intrinsic value was $1,095,000.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share-based payment arrangements was $2,859,000, $2,267,000, and $3,144,000, in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12</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Operating Expense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Details of other operating expense are as follows:</w:t>
      </w:r>
    </w:p>
    <w:tbl>
      <w:tblPr>
        <w:tblW w:w="6417" w:type="dxa"/>
        <w:jc w:val="center"/>
        <w:tblInd w:w="0" w:type="dxa"/>
        <w:tblCellMar>
          <w:top w:w="28" w:type="dxa"/>
          <w:left w:w="28" w:type="dxa"/>
          <w:bottom w:w="28" w:type="dxa"/>
          <w:right w:w="28" w:type="dxa"/>
        </w:tblCellMar>
      </w:tblPr>
      <w:tblGrid>
        <w:gridCol w:w="940"/>
        <w:gridCol w:w="826"/>
        <w:gridCol w:w="829"/>
        <w:gridCol w:w="211"/>
        <w:gridCol w:w="721"/>
        <w:gridCol w:w="109"/>
        <w:gridCol w:w="109"/>
        <w:gridCol w:w="109"/>
        <w:gridCol w:w="109"/>
        <w:gridCol w:w="211"/>
        <w:gridCol w:w="721"/>
        <w:gridCol w:w="109"/>
        <w:gridCol w:w="109"/>
        <w:gridCol w:w="109"/>
        <w:gridCol w:w="109"/>
        <w:gridCol w:w="211"/>
        <w:gridCol w:w="721"/>
        <w:gridCol w:w="154"/>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59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Postage and supplies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Promotional expense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fees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service fees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processing services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Telecommunications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operating expense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13</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(benefit) are as follows:</w:t>
      </w:r>
    </w:p>
    <w:tbl>
      <w:tblPr>
        <w:tblW w:w="5988" w:type="dxa"/>
        <w:jc w:val="center"/>
        <w:tblInd w:w="0" w:type="dxa"/>
        <w:tblCellMar>
          <w:top w:w="28" w:type="dxa"/>
          <w:left w:w="28" w:type="dxa"/>
          <w:bottom w:w="28" w:type="dxa"/>
          <w:right w:w="28" w:type="dxa"/>
        </w:tblCellMar>
      </w:tblPr>
      <w:tblGrid>
        <w:gridCol w:w="798"/>
        <w:gridCol w:w="702"/>
        <w:gridCol w:w="704"/>
        <w:gridCol w:w="211"/>
        <w:gridCol w:w="616"/>
        <w:gridCol w:w="109"/>
        <w:gridCol w:w="109"/>
        <w:gridCol w:w="109"/>
        <w:gridCol w:w="109"/>
        <w:gridCol w:w="211"/>
        <w:gridCol w:w="616"/>
        <w:gridCol w:w="109"/>
        <w:gridCol w:w="109"/>
        <w:gridCol w:w="109"/>
        <w:gridCol w:w="109"/>
        <w:gridCol w:w="211"/>
        <w:gridCol w:w="616"/>
        <w:gridCol w:w="431"/>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4" w:type="dxa"/>
            <w:gridSpan w:val="1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4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expected income tax expense (benefit), computed by applying the effective federal statutory rate of 21% for each year to income before income tax expense is as follows:</w:t>
      </w:r>
    </w:p>
    <w:tbl>
      <w:tblPr>
        <w:tblW w:w="7009" w:type="dxa"/>
        <w:jc w:val="center"/>
        <w:tblInd w:w="0" w:type="dxa"/>
        <w:tblCellMar>
          <w:top w:w="28" w:type="dxa"/>
          <w:left w:w="28" w:type="dxa"/>
          <w:bottom w:w="28" w:type="dxa"/>
          <w:right w:w="28" w:type="dxa"/>
        </w:tblCellMar>
      </w:tblPr>
      <w:tblGrid>
        <w:gridCol w:w="1168"/>
        <w:gridCol w:w="1027"/>
        <w:gridCol w:w="1030"/>
        <w:gridCol w:w="211"/>
        <w:gridCol w:w="616"/>
        <w:gridCol w:w="109"/>
        <w:gridCol w:w="109"/>
        <w:gridCol w:w="109"/>
        <w:gridCol w:w="109"/>
        <w:gridCol w:w="211"/>
        <w:gridCol w:w="616"/>
        <w:gridCol w:w="109"/>
        <w:gridCol w:w="109"/>
        <w:gridCol w:w="109"/>
        <w:gridCol w:w="109"/>
        <w:gridCol w:w="211"/>
        <w:gridCol w:w="616"/>
        <w:gridCol w:w="431"/>
      </w:tblGrid>
      <w:tr>
        <w:trPr/>
        <w:tc>
          <w:tcPr>
            <w:tcW w:w="116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4" w:type="dxa"/>
            <w:gridSpan w:val="1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2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2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expense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increases resulting from:</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income</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adjustment</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credits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in 2021 totaled $5,217,000 compared to $5,165,000 and $7,062,000 in 2020 and 2019, respectively. When measured as a percent of pre-tax income, the Company’s effective tax rate was 15.4% in 2021, 17.0% in 2020, and 18.8% in 2019.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which give rise to significant portions of the deferred tax assets and deferred tax liabilities are presented below:</w:t>
      </w:r>
    </w:p>
    <w:tbl>
      <w:tblPr>
        <w:tblW w:w="7981" w:type="dxa"/>
        <w:jc w:val="left"/>
        <w:tblInd w:w="0" w:type="dxa"/>
        <w:tblCellMar>
          <w:top w:w="28" w:type="dxa"/>
          <w:left w:w="28" w:type="dxa"/>
          <w:bottom w:w="28" w:type="dxa"/>
          <w:right w:w="28" w:type="dxa"/>
        </w:tblCellMar>
      </w:tblPr>
      <w:tblGrid>
        <w:gridCol w:w="1766"/>
        <w:gridCol w:w="1553"/>
        <w:gridCol w:w="1556"/>
        <w:gridCol w:w="211"/>
        <w:gridCol w:w="721"/>
        <w:gridCol w:w="109"/>
        <w:gridCol w:w="109"/>
        <w:gridCol w:w="109"/>
        <w:gridCol w:w="109"/>
        <w:gridCol w:w="211"/>
        <w:gridCol w:w="796"/>
        <w:gridCol w:w="731"/>
      </w:tblGrid>
      <w:tr>
        <w:trPr/>
        <w:tc>
          <w:tcPr>
            <w:tcW w:w="1766"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87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715 pension funding liability</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retirement plan accrual</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48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 securities available-for-sale</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48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7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would be provided on deferred tax assets when it is more likely than not that some portion of the assets will not be realized. The Company has not established a valuation allowance at December 31, 2021 or 2020, due to management’s belief that it is more likely than not that the deferred tax asset is realizable.</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beginning unrecognized tax benefits balance to the ending balance is presented in the following table:</w:t>
      </w:r>
    </w:p>
    <w:tbl>
      <w:tblPr>
        <w:tblW w:w="10205" w:type="dxa"/>
        <w:jc w:val="left"/>
        <w:tblInd w:w="0" w:type="dxa"/>
        <w:tblCellMar>
          <w:top w:w="28" w:type="dxa"/>
          <w:left w:w="28" w:type="dxa"/>
          <w:bottom w:w="28" w:type="dxa"/>
          <w:right w:w="28" w:type="dxa"/>
        </w:tblCellMar>
      </w:tblPr>
      <w:tblGrid>
        <w:gridCol w:w="2461"/>
        <w:gridCol w:w="2115"/>
        <w:gridCol w:w="2121"/>
        <w:gridCol w:w="211"/>
        <w:gridCol w:w="616"/>
        <w:gridCol w:w="109"/>
        <w:gridCol w:w="109"/>
        <w:gridCol w:w="109"/>
        <w:gridCol w:w="109"/>
        <w:gridCol w:w="211"/>
        <w:gridCol w:w="616"/>
        <w:gridCol w:w="109"/>
        <w:gridCol w:w="109"/>
        <w:gridCol w:w="109"/>
        <w:gridCol w:w="109"/>
        <w:gridCol w:w="211"/>
        <w:gridCol w:w="616"/>
        <w:gridCol w:w="155"/>
      </w:tblGrid>
      <w:tr>
        <w:trPr/>
        <w:tc>
          <w:tcPr>
            <w:tcW w:w="2461"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6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unrecognized tax benefits as a result of tax positions taken during a prior year</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unrecognized tax benefits as a result of tax position taken during the current year</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to unrecognized tax benefits as a result of a lapse of the applicable statute of limitations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in unrecognized tax benefits as a result of settlements with taxing authorities</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2020 and 2019, the balances of the Company’s unrecognized tax benefits which would, if recognized, affect the Company’s effective tax rate were $1,134,000, $1,096,000 and $1,184,000, respectively. These amounts are net of the offsetting benefits from other taxing jurisdictions.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2020 and 2019, the Company had $85,000, $114,000 and $151,000, respectively, in accrued interest related to unrecognized tax benefits.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 is reasonably possible that the total amount of unrecognized tax benefits will decrease by approximately $199,000 over the next 12 months. The reduction primarily relates to the anticipated lapse in the statute of limitations. The unrecognized tax benefits relate primarily to apportionment of taxable income among various state tax jurisdictions.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 in the U.S. federal jurisdiction, numerous state jurisdictions, and a foreign jurisdiction. The Company’s federal income tax returns for tax years 2018, 2019 and 2020 remain subject to examination by the Internal Revenue Service. In addition, the Company is subject to state tax examinations for the tax years 2017 through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Disclosures about Fair Value of Financial Instruments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is a summary of the carrying amounts and fair values of the Company’s financial instruments: </w:t>
      </w:r>
    </w:p>
    <w:tbl>
      <w:tblPr>
        <w:tblW w:w="8670" w:type="dxa"/>
        <w:jc w:val="left"/>
        <w:tblInd w:w="0" w:type="dxa"/>
        <w:tblCellMar>
          <w:top w:w="28" w:type="dxa"/>
          <w:left w:w="28" w:type="dxa"/>
          <w:bottom w:w="28" w:type="dxa"/>
          <w:right w:w="28" w:type="dxa"/>
        </w:tblCellMar>
      </w:tblPr>
      <w:tblGrid>
        <w:gridCol w:w="891"/>
        <w:gridCol w:w="783"/>
        <w:gridCol w:w="78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0" w:type="dxa"/>
            <w:gridSpan w:val="21"/>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46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6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sheet assets: </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securities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sheet liabilities: </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1,221,503 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1,221,503 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1,050,856 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payable </w:t>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1,886,280 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methods and assumptions were used to estimate the fair value of each class of financial instruments for which it is practicable to estimate that value: </w:t>
      </w:r>
    </w:p>
    <w:p>
      <w:pPr>
        <w:pStyle w:val="TextBody"/>
        <w:spacing w:lineRule="auto" w:line="288" w:before="240" w:after="283"/>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 xml:space="preserve">The carrying amount approximates fair value. </w:t>
      </w:r>
    </w:p>
    <w:p>
      <w:pPr>
        <w:pStyle w:val="TextBody"/>
        <w:spacing w:lineRule="auto" w:line="288" w:before="240" w:after="283"/>
        <w:jc w:val="both"/>
        <w:rPr/>
      </w:pPr>
      <w:r>
        <w:rPr>
          <w:rFonts w:ascii="Times New Roman;sans-serif" w:hAnsi="Times New Roman;sans-serif"/>
          <w:b w:val="false"/>
          <w:i/>
          <w:color w:val="000000"/>
          <w:sz w:val="20"/>
        </w:rPr>
        <w:t>Investment Securities</w:t>
      </w:r>
      <w:r>
        <w:rPr>
          <w:color w:val="000000"/>
        </w:rPr>
        <w:t xml:space="preserve"> </w:t>
      </w:r>
      <w:r>
        <w:rPr>
          <w:rFonts w:ascii="Times New Roman;sans-serif" w:hAnsi="Times New Roman;sans-serif"/>
          <w:b w:val="false"/>
          <w:color w:val="000000"/>
          <w:sz w:val="20"/>
        </w:rPr>
        <w:t xml:space="preserve">The fair value is measured on a recurring basis using Level 2 valuations. Refer to Note 3 - Investment Securities, for fair value and unrealized gains and losses by investment type. </w:t>
      </w:r>
    </w:p>
    <w:p>
      <w:pPr>
        <w:pStyle w:val="TextBody"/>
        <w:spacing w:lineRule="auto" w:line="288" w:before="240" w:after="283"/>
        <w:jc w:val="both"/>
        <w:rPr/>
      </w:pPr>
      <w:r>
        <w:rPr>
          <w:rFonts w:ascii="Times New Roman;sans-serif" w:hAnsi="Times New Roman;sans-serif"/>
          <w:b w:val="false"/>
          <w:i/>
          <w:color w:val="000000"/>
          <w:sz w:val="20"/>
        </w:rPr>
        <w:t>Loans</w:t>
      </w:r>
      <w:r>
        <w:rPr>
          <w:color w:val="000000"/>
        </w:rPr>
        <w:t xml:space="preserve"> </w:t>
      </w:r>
      <w:r>
        <w:rPr>
          <w:rFonts w:ascii="Times New Roman;sans-serif" w:hAnsi="Times New Roman;sans-serif"/>
          <w:b w:val="false"/>
          <w:color w:val="000000"/>
          <w:sz w:val="20"/>
        </w:rPr>
        <w:t xml:space="preserve">The fair value is estimated using present values of future cash flows discounted at risk-adjusted interest rates for each loan category designated by management and is therefore a Level 3 valuation. Management believes that the risk factor embedded in the interest rates along with the allowance for credit losses approximates a fair valuation.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Individually assessed loans are valued using the fair value of the collateral which is based upon an observable market price or current appraised value and therefore, the fair value is a nonrecurring Level 3 valuation. </w:t>
      </w:r>
    </w:p>
    <w:p>
      <w:pPr>
        <w:pStyle w:val="TextBody"/>
        <w:spacing w:lineRule="auto" w:line="288" w:before="240" w:after="283"/>
        <w:rPr/>
      </w:pPr>
      <w:r>
        <w:rPr>
          <w:rFonts w:ascii="Times New Roman;sans-serif" w:hAnsi="Times New Roman;sans-serif"/>
          <w:b w:val="false"/>
          <w:i/>
          <w:color w:val="000000"/>
          <w:sz w:val="20"/>
        </w:rPr>
        <w:t>Accrued Interest Receivable</w:t>
      </w:r>
      <w:r>
        <w:rPr>
          <w:color w:val="000000"/>
        </w:rPr>
        <w:t xml:space="preserve"> </w:t>
      </w:r>
      <w:r>
        <w:rPr>
          <w:rFonts w:ascii="Times New Roman;sans-serif" w:hAnsi="Times New Roman;sans-serif"/>
          <w:b w:val="false"/>
          <w:color w:val="000000"/>
          <w:sz w:val="20"/>
        </w:rPr>
        <w:t xml:space="preserve">The carrying amount approximates fair value. </w:t>
      </w:r>
    </w:p>
    <w:p>
      <w:pPr>
        <w:pStyle w:val="TextBody"/>
        <w:spacing w:lineRule="auto" w:line="288" w:before="240" w:after="283"/>
        <w:jc w:val="both"/>
        <w:rPr/>
      </w:pPr>
      <w:r>
        <w:rPr>
          <w:rFonts w:ascii="Times New Roman;sans-serif" w:hAnsi="Times New Roman;sans-serif"/>
          <w:b w:val="false"/>
          <w:i/>
          <w:color w:val="000000"/>
          <w:sz w:val="20"/>
        </w:rPr>
        <w:t>Deposits</w:t>
      </w:r>
      <w:r>
        <w:rPr>
          <w:color w:val="000000"/>
        </w:rPr>
        <w:t xml:space="preserve"> </w:t>
      </w:r>
      <w:r>
        <w:rPr>
          <w:rFonts w:ascii="Times New Roman;sans-serif" w:hAnsi="Times New Roman;sans-serif"/>
          <w:b w:val="false"/>
          <w:color w:val="000000"/>
          <w:sz w:val="20"/>
        </w:rPr>
        <w:t xml:space="preserve">The fair value of demand deposits, savings deposits and certain money market deposits is the amount payable on demand at the reporting date. 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 </w:t>
      </w:r>
    </w:p>
    <w:p>
      <w:pPr>
        <w:pStyle w:val="TextBody"/>
        <w:spacing w:lineRule="auto" w:line="288" w:before="240" w:after="283"/>
        <w:rPr/>
      </w:pPr>
      <w:r>
        <w:rPr>
          <w:rFonts w:ascii="Times New Roman;sans-serif" w:hAnsi="Times New Roman;sans-serif"/>
          <w:b w:val="false"/>
          <w:i/>
          <w:color w:val="000000"/>
          <w:sz w:val="20"/>
        </w:rPr>
        <w:t>Accounts and Drafts Payable</w:t>
      </w:r>
      <w:r>
        <w:rPr>
          <w:color w:val="000000"/>
        </w:rPr>
        <w:t xml:space="preserve"> </w:t>
      </w:r>
      <w:r>
        <w:rPr>
          <w:rFonts w:ascii="Times New Roman;sans-serif" w:hAnsi="Times New Roman;sans-serif"/>
          <w:b w:val="false"/>
          <w:color w:val="000000"/>
          <w:sz w:val="20"/>
        </w:rPr>
        <w:t xml:space="preserve">The carrying amount approximates fair value. </w:t>
      </w:r>
    </w:p>
    <w:p>
      <w:pPr>
        <w:pStyle w:val="TextBody"/>
        <w:spacing w:lineRule="auto" w:line="288" w:before="240" w:after="283"/>
        <w:rPr/>
      </w:pPr>
      <w:r>
        <w:rPr>
          <w:rFonts w:ascii="Times New Roman;sans-serif" w:hAnsi="Times New Roman;sans-serif"/>
          <w:b w:val="false"/>
          <w:i/>
          <w:color w:val="000000"/>
          <w:sz w:val="20"/>
        </w:rPr>
        <w:t>Accrued Interest</w:t>
      </w:r>
      <w:r>
        <w:rPr>
          <w:color w:val="000000"/>
        </w:rPr>
        <w:t xml:space="preserve"> </w:t>
      </w:r>
      <w:r>
        <w:rPr>
          <w:rFonts w:ascii="Times New Roman;sans-serif" w:hAnsi="Times New Roman;sans-serif"/>
          <w:b w:val="false"/>
          <w:color w:val="000000"/>
          <w:sz w:val="20"/>
        </w:rPr>
        <w:t xml:space="preserve">The carrying amount approximates fair value. </w:t>
      </w:r>
    </w:p>
    <w:p>
      <w:pPr>
        <w:pStyle w:val="TextBody"/>
        <w:spacing w:lineRule="auto" w:line="288" w:before="240" w:after="283"/>
        <w:jc w:val="both"/>
        <w:rPr/>
      </w:pPr>
      <w:r>
        <w:rPr>
          <w:rFonts w:ascii="Times New Roman;sans-serif" w:hAnsi="Times New Roman;sans-serif"/>
          <w:b w:val="false"/>
          <w:i/>
          <w:color w:val="000000"/>
          <w:sz w:val="20"/>
        </w:rPr>
        <w:t>Limitations</w:t>
      </w:r>
      <w:r>
        <w:rPr>
          <w:color w:val="000000"/>
        </w:rPr>
        <w:t xml:space="preserve"> </w:t>
      </w:r>
      <w:r>
        <w:rPr>
          <w:rFonts w:ascii="Times New Roman;sans-serif" w:hAnsi="Times New Roman;sans-serif"/>
          <w:b w:val="false"/>
          <w:color w:val="000000"/>
          <w:sz w:val="20"/>
        </w:rPr>
        <w:t xml:space="preserve">Fair value estimates are based on existing on- and off-balance sheet financial instruments without attempting to estimate the value of 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15</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2021, an allowance for unfunded commitments of $367,000 had been recorded, as compared to $567,000 at December 31, 2020. See Item 8, "Financial Statements and Supplementary Data—Note 1” for information related to CECL adoption.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to extend credit are agreements to lend to a customer as long as there is no violation of any condition established in the contract. Commercial and standby letters of credit are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commitments to extend credit, standby letters of credit and commercial letters: </w:t>
      </w:r>
    </w:p>
    <w:tbl>
      <w:tblPr>
        <w:tblW w:w="5288" w:type="dxa"/>
        <w:jc w:val="center"/>
        <w:tblInd w:w="0" w:type="dxa"/>
        <w:tblCellMar>
          <w:top w:w="28" w:type="dxa"/>
          <w:left w:w="28" w:type="dxa"/>
          <w:bottom w:w="28" w:type="dxa"/>
          <w:right w:w="28" w:type="dxa"/>
        </w:tblCellMar>
      </w:tblPr>
      <w:tblGrid>
        <w:gridCol w:w="950"/>
        <w:gridCol w:w="836"/>
        <w:gridCol w:w="838"/>
        <w:gridCol w:w="211"/>
        <w:gridCol w:w="826"/>
        <w:gridCol w:w="109"/>
        <w:gridCol w:w="109"/>
        <w:gridCol w:w="109"/>
        <w:gridCol w:w="109"/>
        <w:gridCol w:w="211"/>
        <w:gridCol w:w="826"/>
        <w:gridCol w:w="154"/>
      </w:tblGrid>
      <w:tr>
        <w:trPr/>
        <w:tc>
          <w:tcPr>
            <w:tcW w:w="950"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6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to extend credit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Standby letters of credit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letters of credit </w:t>
            </w:r>
          </w:p>
        </w:tc>
        <w:tc>
          <w:tcPr>
            <w:tcW w:w="1037"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16</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Revenue is recognized as the obligation to the customer is satisfied. The following is detail of the Company’s revenue from contracts with clients.</w:t>
      </w:r>
    </w:p>
    <w:p>
      <w:pPr>
        <w:pStyle w:val="TextBody"/>
        <w:spacing w:lineRule="auto" w:line="288" w:before="200" w:after="283"/>
        <w:jc w:val="both"/>
        <w:rPr/>
      </w:pPr>
      <w:r>
        <w:rPr>
          <w:rFonts w:ascii="Times New Roman;sans-serif" w:hAnsi="Times New Roman;sans-serif"/>
          <w:b w:val="false"/>
          <w:i/>
          <w:color w:val="000000"/>
          <w:sz w:val="20"/>
        </w:rPr>
        <w:t xml:space="preserve">Invoice processing fees </w:t>
      </w:r>
      <w:r>
        <w:rPr>
          <w:color w:val="000000"/>
        </w:rPr>
        <w:t xml:space="preserve">– </w:t>
      </w:r>
      <w:r>
        <w:rPr>
          <w:rFonts w:ascii="Times New Roman;sans-serif" w:hAnsi="Times New Roman;sans-serif"/>
          <w:b w:val="false"/>
          <w:color w:val="000000"/>
          <w:sz w:val="20"/>
        </w:rPr>
        <w:t>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pStyle w:val="TextBody"/>
        <w:spacing w:lineRule="auto" w:line="288" w:before="200" w:after="283"/>
        <w:jc w:val="both"/>
        <w:rPr/>
      </w:pPr>
      <w:r>
        <w:rPr>
          <w:rFonts w:ascii="Times New Roman;sans-serif" w:hAnsi="Times New Roman;sans-serif"/>
          <w:b w:val="false"/>
          <w:i/>
          <w:color w:val="000000"/>
          <w:sz w:val="20"/>
        </w:rPr>
        <w:t xml:space="preserve">Invoice payment fees </w:t>
      </w:r>
      <w:r>
        <w:rPr>
          <w:color w:val="000000"/>
        </w:rPr>
        <w:t xml:space="preserve">– </w:t>
      </w:r>
      <w:r>
        <w:rPr>
          <w:rFonts w:ascii="Times New Roman;sans-serif" w:hAnsi="Times New Roman;sans-serif"/>
          <w:b w:val="false"/>
          <w:color w:val="000000"/>
          <w:sz w:val="20"/>
        </w:rPr>
        <w:t>The Company earns fees on a transaction level basis for invoice payment services when making customer payments. Fees are recognized at the point in time when the payment transactions are made, which is when the performance obligation is satisfied. The contracts have no significant impact of variable consideration and no significant financing components.</w:t>
      </w:r>
    </w:p>
    <w:p>
      <w:pPr>
        <w:pStyle w:val="TextBody"/>
        <w:spacing w:lineRule="auto" w:line="288" w:before="200" w:after="283"/>
        <w:jc w:val="both"/>
        <w:rPr/>
      </w:pPr>
      <w:r>
        <w:rPr>
          <w:rFonts w:ascii="Times New Roman;sans-serif" w:hAnsi="Times New Roman;sans-serif"/>
          <w:b w:val="false"/>
          <w:i/>
          <w:color w:val="000000"/>
          <w:sz w:val="20"/>
        </w:rPr>
        <w:t xml:space="preserve">Bank service fees </w:t>
      </w:r>
      <w:r>
        <w:rPr>
          <w:color w:val="000000"/>
        </w:rPr>
        <w:t xml:space="preserve">– </w:t>
      </w:r>
      <w:r>
        <w:rPr>
          <w:rFonts w:ascii="Times New Roman;sans-serif" w:hAnsi="Times New Roman;sans-serif"/>
          <w:b w:val="false"/>
          <w:color w:val="000000"/>
          <w:sz w:val="20"/>
        </w:rPr>
        <w:t>Revenue from service fees consists of service charges and fees on deposit accounts under depository agreements with customers to 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00" w:after="283"/>
        <w:jc w:val="both"/>
        <w:rPr/>
      </w:pPr>
      <w:r>
        <w:rPr>
          <w:rFonts w:ascii="Times New Roman;sans-serif" w:hAnsi="Times New Roman;sans-serif"/>
          <w:b w:val="false"/>
          <w:color w:val="000000"/>
          <w:sz w:val="20"/>
        </w:rPr>
        <w:t xml:space="preserve">The following table presents non-interest income, segregated by revenue streams in-scope and out-of-scope of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for the years ended December 31, 2021, 2020, and 2019.</w:t>
      </w:r>
    </w:p>
    <w:tbl>
      <w:tblPr>
        <w:tblW w:w="8652" w:type="dxa"/>
        <w:jc w:val="center"/>
        <w:tblInd w:w="0" w:type="dxa"/>
        <w:tblCellMar>
          <w:top w:w="28" w:type="dxa"/>
          <w:left w:w="28" w:type="dxa"/>
          <w:bottom w:w="28" w:type="dxa"/>
          <w:right w:w="28" w:type="dxa"/>
        </w:tblCellMar>
      </w:tblPr>
      <w:tblGrid>
        <w:gridCol w:w="1634"/>
        <w:gridCol w:w="1439"/>
        <w:gridCol w:w="1442"/>
        <w:gridCol w:w="211"/>
        <w:gridCol w:w="826"/>
        <w:gridCol w:w="109"/>
        <w:gridCol w:w="109"/>
        <w:gridCol w:w="109"/>
        <w:gridCol w:w="109"/>
        <w:gridCol w:w="211"/>
        <w:gridCol w:w="826"/>
        <w:gridCol w:w="109"/>
        <w:gridCol w:w="109"/>
        <w:gridCol w:w="109"/>
        <w:gridCol w:w="109"/>
        <w:gridCol w:w="211"/>
        <w:gridCol w:w="826"/>
        <w:gridCol w:w="154"/>
      </w:tblGrid>
      <w:tr>
        <w:trPr/>
        <w:tc>
          <w:tcPr>
            <w:tcW w:w="1634"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51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revenue and other income </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In-scope of ASC 606</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Invoice processing fees </w:t>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Invoice payment fees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services payment and processing revenue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service fees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Fee revenue</w:t>
            </w:r>
            <w:r>
              <w:rPr>
                <w:color w:val="000000"/>
              </w:rPr>
              <w:t xml:space="preserve"> </w:t>
            </w:r>
            <w:r>
              <w:rPr>
                <w:rFonts w:ascii="Times New Roman;sans-serif" w:hAnsi="Times New Roman;sans-serif"/>
                <w:b w:val="false"/>
                <w:i/>
                <w:color w:val="000000"/>
                <w:sz w:val="20"/>
              </w:rPr>
              <w:t xml:space="preserve">(in-scope of ASC 606)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i/>
                <w:color w:val="000000"/>
                <w:sz w:val="20"/>
              </w:rPr>
              <w:t>(out-of-scope of ASC 606)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fee revenue and other income </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110,069 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17</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Industry Segment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accounting policies for segments are the same as those described in Note 1 of this report. Management evaluates segment performance based on tax-equivalized (as defined in the footnote to the chart on the following table) pre-tax income after allocations for corporate expenses. Transactions between segments are accounted for at what management believes to be fair value.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revenue originates from, and all long-lived assets are located within the United States, and no revenue from any customer of any segment exceeds 10% of the Company’s consolidated revenue.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Information Services – one or more fixed rates depending upon the specific characteristics of the funding source,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Banking Services – a variable rate that is based upon the overall performance of the Company’s earning assets.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difference between total segment interest income and overall total Company interest income is included in Corporate, Eliminations, and Other.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information about the Company’s operations in each industry segment for the years ended December 31, 2021, 2020 and 2019 is as follows: </w:t>
      </w:r>
    </w:p>
    <w:tbl>
      <w:tblPr>
        <w:tblW w:w="9072" w:type="dxa"/>
        <w:jc w:val="left"/>
        <w:tblInd w:w="0" w:type="dxa"/>
        <w:tblCellMar>
          <w:top w:w="28" w:type="dxa"/>
          <w:left w:w="28" w:type="dxa"/>
          <w:bottom w:w="28" w:type="dxa"/>
          <w:right w:w="28" w:type="dxa"/>
        </w:tblCellMar>
      </w:tblPr>
      <w:tblGrid>
        <w:gridCol w:w="1037"/>
        <w:gridCol w:w="911"/>
        <w:gridCol w:w="916"/>
        <w:gridCol w:w="109"/>
        <w:gridCol w:w="109"/>
        <w:gridCol w:w="109"/>
        <w:gridCol w:w="211"/>
        <w:gridCol w:w="826"/>
        <w:gridCol w:w="109"/>
        <w:gridCol w:w="109"/>
        <w:gridCol w:w="109"/>
        <w:gridCol w:w="109"/>
        <w:gridCol w:w="249"/>
        <w:gridCol w:w="727"/>
        <w:gridCol w:w="109"/>
        <w:gridCol w:w="109"/>
        <w:gridCol w:w="109"/>
        <w:gridCol w:w="109"/>
        <w:gridCol w:w="270"/>
        <w:gridCol w:w="790"/>
        <w:gridCol w:w="141"/>
        <w:gridCol w:w="109"/>
        <w:gridCol w:w="109"/>
        <w:gridCol w:w="109"/>
        <w:gridCol w:w="211"/>
        <w:gridCol w:w="826"/>
        <w:gridCol w:w="431"/>
      </w:tblGrid>
      <w:tr>
        <w:trPr/>
        <w:tc>
          <w:tcPr>
            <w:tcW w:w="103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2021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income from customers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109,691 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47,370 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income (expense)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Tax-equivalized pre-tax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35,694 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1,152,917 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1,500,060 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(98,076)</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2,554,901 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Funding Sources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1,813,496 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2020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 from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100,441 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income (expense)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Tax-equivalized pre-tax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32,230 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967,702 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2,203,235 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Sources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1,473,164 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2019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 from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110,069 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54,694 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income (expense)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Tax-equivalized pre-tax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4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844,483 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1,764,243 </w:t>
            </w:r>
          </w:p>
        </w:tc>
        <w:tc>
          <w:tcPr>
            <w:tcW w:w="4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86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Sources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676,068 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592,905 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60"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1,268,973 </w:t>
            </w:r>
          </w:p>
        </w:tc>
        <w:tc>
          <w:tcPr>
            <w:tcW w:w="43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*Presented on a tax-equivalent basis assuming a tax rate of 21%. The tax-equivalent adjustment was approximately $1,873,000 for 2021, $1,888,000 for 2020, and $2,084,000 for 2019.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18</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premises under operating leases. As of December 31, 2021, the Company had lease liabilities of $4,887,000 and right-of-use assets of $4,421,000. Lease liabilities and right-of-use assets are reflected in other liabilities and other assets, respectively. Included in occupancy expense on the consolidated statements of income for 2021 was operating lease cost of $1,651,000, short-term lease cost of $186,000, and there was no variable lease cost. The Company paid cash of $1,779,000 for operating lease amounts included in the measurement of lease liabilities for the year ended December 31, 2021. No right-of-use assets were obtained in exchange for lease liabilities during the year ended December 31, 2021.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the weighted average remaining lease term for the operating leases was 6.1 years and the weighted average discount rate used in the measurement of operating lease liabilities was 5.4%.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2020.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maturity analysis of operating lease liabilities and undiscounted cash flows as of December 31, 2021 was as follows: </w:t>
      </w:r>
    </w:p>
    <w:tbl>
      <w:tblPr>
        <w:tblW w:w="4198" w:type="dxa"/>
        <w:jc w:val="center"/>
        <w:tblInd w:w="0" w:type="dxa"/>
        <w:tblCellMar>
          <w:top w:w="28" w:type="dxa"/>
          <w:left w:w="28" w:type="dxa"/>
          <w:bottom w:w="28" w:type="dxa"/>
          <w:right w:w="28" w:type="dxa"/>
        </w:tblCellMar>
      </w:tblPr>
      <w:tblGrid>
        <w:gridCol w:w="955"/>
        <w:gridCol w:w="841"/>
        <w:gridCol w:w="844"/>
        <w:gridCol w:w="211"/>
        <w:gridCol w:w="616"/>
        <w:gridCol w:w="731"/>
      </w:tblGrid>
      <w:tr>
        <w:trPr/>
        <w:tc>
          <w:tcPr>
            <w:tcW w:w="95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26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payments due </w:t>
            </w:r>
          </w:p>
        </w:tc>
        <w:tc>
          <w:tcPr>
            <w:tcW w:w="155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than 1 year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 years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2-3 years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years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 years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5 years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64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undiscounted cash flows </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7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on cash flows </w:t>
            </w:r>
          </w:p>
        </w:tc>
        <w:tc>
          <w:tcPr>
            <w:tcW w:w="82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26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liability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sale and leaseback transactions, leveraged leases, or lease transactions with related parties during the year ended December 31, 2021. At December 31, 2021, the Company did not have any leases that had not yet commenced.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spacing w:lineRule="auto" w:line="288" w:before="240" w:after="283"/>
        <w:jc w:val="both"/>
        <w:rPr/>
      </w:pPr>
      <w:r>
        <w:rPr>
          <w:rFonts w:ascii="Times New Roman;sans-serif" w:hAnsi="Times New Roman;sans-serif"/>
          <w:b w:val="false"/>
          <w:color w:val="000000"/>
          <w:sz w:val="20"/>
        </w:rPr>
        <w:t xml:space="preserve">In accordance with FASB ASC 855,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xml:space="preserve">, the Company has evaluated subsequent events after the consolidated balance sheet date of December 31, 2021, and there were no events identified that would require additional disclosures to prevent the Company’s consolidated financial statements from being misleading.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20</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Condensed Financial Information of Parent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are the condensed balance sheets of the Company (parent company only) and the related condensed statements of income and cash flows. </w:t>
      </w:r>
    </w:p>
    <w:tbl>
      <w:tblPr>
        <w:tblW w:w="7005" w:type="dxa"/>
        <w:jc w:val="center"/>
        <w:tblInd w:w="0" w:type="dxa"/>
        <w:tblCellMar>
          <w:top w:w="28" w:type="dxa"/>
          <w:left w:w="28" w:type="dxa"/>
          <w:bottom w:w="28" w:type="dxa"/>
          <w:right w:w="28" w:type="dxa"/>
        </w:tblCellMar>
      </w:tblPr>
      <w:tblGrid>
        <w:gridCol w:w="1254"/>
        <w:gridCol w:w="1103"/>
        <w:gridCol w:w="1107"/>
        <w:gridCol w:w="211"/>
        <w:gridCol w:w="976"/>
        <w:gridCol w:w="109"/>
        <w:gridCol w:w="109"/>
        <w:gridCol w:w="109"/>
        <w:gridCol w:w="109"/>
        <w:gridCol w:w="211"/>
        <w:gridCol w:w="976"/>
        <w:gridCol w:w="731"/>
      </w:tblGrid>
      <w:tr>
        <w:trPr/>
        <w:tc>
          <w:tcPr>
            <w:tcW w:w="125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1"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6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due from banks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51,714 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235,452 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available-for-sale, at fair value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357,726 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net </w:t>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49,314 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in advance of funding </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194,563 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subsidiaries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162,341 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7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69,162 </w:t>
            </w:r>
          </w:p>
        </w:tc>
        <w:tc>
          <w:tcPr>
            <w:tcW w:w="731"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1,137,731 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w:t>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832,420 </w:t>
            </w:r>
          </w:p>
        </w:tc>
        <w:tc>
          <w:tcPr>
            <w:tcW w:w="7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876,571 </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shareholders’ equity </w:t>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261,160 </w:t>
            </w:r>
          </w:p>
        </w:tc>
        <w:tc>
          <w:tcPr>
            <w:tcW w:w="731"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shareholders’ equity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1,309,445 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1,137,731 </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097"/>
        <w:gridCol w:w="1844"/>
        <w:gridCol w:w="1863"/>
        <w:gridCol w:w="211"/>
        <w:gridCol w:w="721"/>
        <w:gridCol w:w="109"/>
        <w:gridCol w:w="109"/>
        <w:gridCol w:w="109"/>
        <w:gridCol w:w="109"/>
        <w:gridCol w:w="211"/>
        <w:gridCol w:w="721"/>
        <w:gridCol w:w="109"/>
        <w:gridCol w:w="109"/>
        <w:gridCol w:w="109"/>
        <w:gridCol w:w="109"/>
        <w:gridCol w:w="211"/>
        <w:gridCol w:w="721"/>
        <w:gridCol w:w="733"/>
      </w:tblGrid>
      <w:tr>
        <w:trPr/>
        <w:tc>
          <w:tcPr>
            <w:tcW w:w="2097"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15"/>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8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subsidiaries – management fees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7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services revenue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106,198 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(release of) provision for credit losses</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15,713 </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sales of investment securities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733"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125,047 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w:t>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employee benefits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81,432 </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300"/>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26,136 </w:t>
            </w:r>
          </w:p>
        </w:tc>
        <w:tc>
          <w:tcPr>
            <w:tcW w:w="733"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expenses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107,568 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 and equity in undistributed income of subsidiaries </w:t>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17,479 </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undistributed income of subsidiaries </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7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undistributed income of subsidiaries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15,785 </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7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084"/>
        <w:gridCol w:w="1752"/>
        <w:gridCol w:w="1758"/>
        <w:gridCol w:w="211"/>
        <w:gridCol w:w="826"/>
        <w:gridCol w:w="109"/>
        <w:gridCol w:w="109"/>
        <w:gridCol w:w="109"/>
        <w:gridCol w:w="109"/>
        <w:gridCol w:w="211"/>
        <w:gridCol w:w="826"/>
        <w:gridCol w:w="109"/>
        <w:gridCol w:w="109"/>
        <w:gridCol w:w="109"/>
        <w:gridCol w:w="109"/>
        <w:gridCol w:w="211"/>
        <w:gridCol w:w="721"/>
        <w:gridCol w:w="733"/>
      </w:tblGrid>
      <w:tr>
        <w:trPr/>
        <w:tc>
          <w:tcPr>
            <w:tcW w:w="2084"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1" w:type="dxa"/>
            <w:gridSpan w:val="15"/>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59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operating activities: </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reconcile net income to net cash provided by (used in) operating activities: </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undistributed income of subsidiaries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(15,785)</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other assets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w:t>
            </w:r>
          </w:p>
        </w:tc>
        <w:tc>
          <w:tcPr>
            <w:tcW w:w="733"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other liabilities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733"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27,052 </w:t>
            </w:r>
          </w:p>
        </w:tc>
        <w:tc>
          <w:tcPr>
            <w:tcW w:w="7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investing activities: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securities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(226,090)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26,150 </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loans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payments in advance of funding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(45,381)</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bank-owned life insurance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premises and equipment, net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acquisition of Gateway Giving, LLC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733" w:type="dxa"/>
            <w:tcBorders/>
            <w:shd w:fill="FFFFFF"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investing activities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(341,507)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w:t>
            </w:r>
          </w:p>
        </w:tc>
        <w:tc>
          <w:tcPr>
            <w:tcW w:w="7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financing activities: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accounts and drafts payable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borrowings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paid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7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common shares for treasury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733" w:type="dxa"/>
            <w:tcBorders/>
            <w:shd w:fill="DBDBDB" w:val="clear"/>
            <w:tcMar>
              <w:top w:w="0" w:type="dxa"/>
              <w:left w:w="0" w:type="dxa"/>
              <w:bottom w:w="0" w:type="dxa"/>
              <w:right w:w="0" w:type="dxa"/>
            </w:tcMar>
            <w:vAlign w:val="center"/>
          </w:tcPr>
          <w:p>
            <w:pPr>
              <w:pStyle w:val="TableContents"/>
              <w:spacing w:before="0" w:after="283"/>
              <w:ind w:left="0" w:right="0" w:firstLine="6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and cash equivalents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(50,681)</w:t>
            </w:r>
          </w:p>
        </w:tc>
        <w:tc>
          <w:tcPr>
            <w:tcW w:w="7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beginning of year </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end of year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20,255 </w:t>
            </w:r>
          </w:p>
        </w:tc>
        <w:tc>
          <w:tcPr>
            <w:tcW w:w="7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Cass Information Systems, Inc. and subsidiaries (the Company) as of December 31, 2021 and 2020, the related consolidated statements of income, comprehensive income, cash flows, and shareholders’ equity for each of the years in the three</w:t>
        <w:noBreakHyphen/>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noBreakHyphen/>
        <w:t>year period ended December 31, 2021, in conformity with U.S. generally accepted accounting principles.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28, 2022 expressed an unqualified opinion on the effectiveness of the Company’s internal control over financial reporting.</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to the consolidated financial statements, the Company has changed its method of accounting for the allowance for credit losses as of January 1, 2020 due to the adoption of ASU No. 2016-13, Financial Instruments - Credit Losses (ASC Topic 326). As explained below, auditing the Company’s allowance for credit losses on loans was a critical audit matter.</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Assessment of the qualitative risk factors related to the allowance for credit losses on loans evaluated on a collective basis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Notes 1 and 4 to the consolidated financial statements, the Company’s allowance for credit losses as of December 31, 2021 was $12.0 million, of which $12.0 million was related to the allowance for credit losses on loans evaluated on a collective basis (the “collective ACL”). The December 31, 2021 collective ACL includes the measure of expected credit losses on a collective (pooled) basis for those loans that share similar risk characteristics. The Company estimated the collective ACL using a weighted-average remaining maturity (“WARM”) model that utilizes expected annual remaining loan balance, historical loss rates, a reasonable and supportable forecast, and reversion adjustments. Additionally, the collective ACL includes subjective qualitative risk factors that are likely to cause estimated credit losses to differ from historical experience. Given the Company’s recent historical loss experience, the impact of the qualitative risk factors related to the collective ACL is a substantial percentage of the overall collective ACL. These qualitative risk factors may increase or reduce reserve levels and include adjustments for assumptions related to loan concentrations, lending management experience and risk tolerance, loan review and audit results, asset quality and portfolio trends, value of underlying collateral, and loan portfolio growth.</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assessment of the qualitative risk factors related to the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qualitative risk factors related to the collective ACL methodology, including the conceptual soundness and performance of the qualitative framework. The assessment also included the evaluation of qualitative risk factors and the related assumptions. These qualitative risk factors and related assumptions are sensitive to variation, such that minor changes in the assumption can cause significant changes in the estimates.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measurement of the qualitative risk factors related to the collective ACL estimate, including controls over the: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development of the collective ACL methodology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identification and determination of the assumptions used in the qualitative framework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use and appropriateness of changes made to the qualitative framework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analysis of the collective ACL results, trends, and ratios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the Company’s process to develop the qualitative risk factors related to the collective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evaluating the Company’s collective ACL methodology for compliance with U.S. generally accepted accounting principles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judgments made by the Company relative to the assessment of the qualitative framework by comparing it to relevant Company-specific metrics and trends and the applicable industry and regulatory practices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 KPMG LLP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1983.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St. Louis, Missouri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720"/>
        <w:jc w:val="both"/>
        <w:rPr/>
      </w:pPr>
      <w:r>
        <w:rPr>
          <w:rFonts w:ascii="Times New Roman;sans-serif" w:hAnsi="Times New Roman;sans-serif"/>
          <w:b/>
          <w:color w:val="000000"/>
          <w:sz w:val="20"/>
        </w:rPr>
        <w:t xml:space="preserve">ITEM 9. </w:t>
      </w:r>
      <w:r>
        <w:rPr>
          <w:rFonts w:ascii="Times New Roman;sans-serif" w:hAnsi="Times New Roman;sans-serif"/>
          <w:b/>
          <w:color w:val="000000"/>
          <w:sz w:val="20"/>
          <w:u w:val="single"/>
        </w:rPr>
        <w:t>CHANGES IN AND DISAGREEMENTS WITH ACCOUNTANTS ON ACCOUNTING AND FINANCIAL DISCLOSURE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2021. Based on this evaluation, our principal executive officer and our principal financial officer concluded that our disclosure controls and procedures were effective as of December 31, 2021.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 </w:t>
      </w:r>
    </w:p>
    <w:p>
      <w:pPr>
        <w:pStyle w:val="TextBody"/>
        <w:spacing w:lineRule="auto" w:line="288" w:before="240" w:after="283"/>
        <w:jc w:val="both"/>
        <w:rPr/>
      </w:pPr>
      <w:r>
        <w:rPr>
          <w:rFonts w:ascii="Times New Roman;sans-serif" w:hAnsi="Times New Roman;sans-serif"/>
          <w:b w:val="false"/>
          <w:color w:val="000000"/>
          <w:sz w:val="20"/>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Based on our evaluation under this framework, our management concluded that our internal control over financial reporting was effective as of December 31,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not been changes in our internal control over financial reporting that occurred during our fourth fiscal quarter that have materially affected or are reasonably likely to materially affect our internal control over financial reporting.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effectiveness of our internal control over financial reporting as of December 31, 2021 has been audited by KPMG LLP, our independent registered public accounting firm. KPMG LLP’s report, which expresses an unqualified opinion on the effectiveness of our internal control over financial reporting as of December 31, 2021, is included below.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Cass Information Systems,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2021 and 2020, the related consolidated statements of income, comprehensive income, cash flows, and shareholders’ equity, for each of the years in the three-year period ended December 31, 2021, and the related notes (collectively, the consolidated financial statements), and our report dated February 28, 2022 expressed an unqualified opinion on those consolidated financial statements.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 KPMG LLP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 Louis, Missouri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 xml:space="preserve">ITEM 9B. </w:t>
      </w:r>
      <w:r>
        <w:rPr>
          <w:rFonts w:ascii="Times New Roman;sans-serif" w:hAnsi="Times New Roman;sans-serif"/>
          <w:b/>
          <w:color w:val="000000"/>
          <w:sz w:val="20"/>
          <w:u w:val="single"/>
        </w:rPr>
        <w:t>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10. </w:t>
      </w:r>
      <w:r>
        <w:rPr>
          <w:rFonts w:ascii="Times New Roman;sans-serif" w:hAnsi="Times New Roman;sans-serif"/>
          <w:b/>
          <w:color w:val="000000"/>
          <w:sz w:val="20"/>
          <w:u w:val="single"/>
        </w:rPr>
        <w:t>DIRECTORS, EXECUTIVE OFFICERS AND CORPORATE GOVERNANCE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by this Item 10 is incorporated herein by reference to the following sections of the Company’s definitive Proxy Statement for its 2022 Annual Meeting of Shareholders (the “2022 Proxy Statement”), a copy of which will be filed with the SEC no later than 120 days after the close of the fiscal year: “Election of Directors – Proposal 1,” “Executive Compensation and Related Information,” and “Beneficial Ownership of Securities.”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changes to the procedures by which shareholders may recommend nominees to the Board during the fourth quarter of fiscal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11. </w:t>
      </w:r>
      <w:r>
        <w:rPr>
          <w:rFonts w:ascii="Times New Roman;sans-serif" w:hAnsi="Times New Roman;sans-serif"/>
          <w:b/>
          <w:color w:val="000000"/>
          <w:sz w:val="20"/>
          <w:u w:val="single"/>
        </w:rPr>
        <w:t>EXECUTIVE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pursuant to this Item 11 is incorporated herein by reference to the sections entitled “Election of Directors – Proposal 1” and “Executive Compensation and Related Information” of the Company’s 2022 Proxy Statement, a copy of which will be filed with the SEC no later than 120 days after the close of the fiscal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pPr>
      <w:r>
        <w:rPr>
          <w:rFonts w:ascii="Times New Roman;sans-serif" w:hAnsi="Times New Roman;sans-serif"/>
          <w:b/>
          <w:color w:val="000000"/>
          <w:sz w:val="20"/>
        </w:rPr>
        <w:t xml:space="preserve">ITEM 12. </w:t>
      </w:r>
      <w:r>
        <w:rPr>
          <w:rFonts w:ascii="Times New Roman;sans-serif" w:hAnsi="Times New Roman;sans-serif"/>
          <w:b/>
          <w:color w:val="000000"/>
          <w:sz w:val="20"/>
          <w:u w:val="single"/>
        </w:rPr>
        <w:t>SECURITY OWNERSHIP OF CERTAIN BENEFICIAL OWNERS AND MANAGEMENT AND RELATED STOCKHOLDER MATTERS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pursuant to this Item 12 is incorporated herein by reference to the section entitled “Beneficial Ownership of Securities” of the Company’s 2022 Proxy Statement, a copy of which will be filed with the SEC no later than 120 days after the close of the fiscal year.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is as of December 31, 2021: </w:t>
      </w:r>
    </w:p>
    <w:tbl>
      <w:tblPr>
        <w:tblW w:w="10205" w:type="dxa"/>
        <w:jc w:val="center"/>
        <w:tblInd w:w="0" w:type="dxa"/>
        <w:tblCellMar>
          <w:top w:w="28" w:type="dxa"/>
          <w:left w:w="28" w:type="dxa"/>
          <w:bottom w:w="28" w:type="dxa"/>
          <w:right w:w="28" w:type="dxa"/>
        </w:tblCellMar>
      </w:tblPr>
      <w:tblGrid>
        <w:gridCol w:w="1492"/>
        <w:gridCol w:w="1308"/>
        <w:gridCol w:w="1294"/>
        <w:gridCol w:w="625"/>
        <w:gridCol w:w="599"/>
        <w:gridCol w:w="601"/>
        <w:gridCol w:w="109"/>
        <w:gridCol w:w="109"/>
        <w:gridCol w:w="109"/>
        <w:gridCol w:w="375"/>
        <w:gridCol w:w="1096"/>
        <w:gridCol w:w="195"/>
        <w:gridCol w:w="109"/>
        <w:gridCol w:w="109"/>
        <w:gridCol w:w="109"/>
        <w:gridCol w:w="584"/>
        <w:gridCol w:w="570"/>
        <w:gridCol w:w="812"/>
      </w:tblGrid>
      <w:tr>
        <w:trPr/>
        <w:tc>
          <w:tcPr>
            <w:tcW w:w="1492"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Plan Category</w:t>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w:t>
              <w:br/>
              <w:t>be issued upon exercise</w:t>
              <w:br/>
              <w:t>of outstanding options,</w:t>
              <w:br/>
              <w:t>warrants and rights</w:t>
              <w:b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w:t>
              <w:br/>
              <w:t>options, warrants</w:t>
              <w:br/>
              <w:t>and rights</w:t>
              <w:b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remaining available for</w:t>
              <w:br/>
              <w:t>future issuance under</w:t>
              <w:br/>
              <w:t>equity compensation</w:t>
              <w:br/>
              <w:t>plans (excluding</w:t>
              <w:br/>
              <w:t>securities reflected in</w:t>
              <w:br/>
              <w:t>column (a))</w:t>
              <w:br/>
              <w:t>(c)</w:t>
            </w:r>
          </w:p>
        </w:tc>
      </w:tr>
      <w:tr>
        <w:trPr/>
        <w:tc>
          <w:tcPr>
            <w:tcW w:w="4094" w:type="dxa"/>
            <w:gridSpan w:val="3"/>
            <w:tcBorders>
              <w:top w:val="single" w:sz="12" w:space="0" w:color="000000"/>
            </w:tcBorders>
            <w:shd w:fill="DBDBDB" w:val="clear"/>
            <w:tcMar>
              <w:top w:w="3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Equity compensation plans approved by security holders </w:t>
            </w:r>
            <w:r>
              <w:rPr>
                <w:rFonts w:ascii="Times New Roman;sans-serif" w:hAnsi="Times New Roman;sans-serif"/>
                <w:b/>
                <w:color w:val="000000"/>
                <w:sz w:val="13"/>
              </w:rPr>
              <w:t>(1)(2)</w:t>
            </w:r>
          </w:p>
        </w:tc>
        <w:tc>
          <w:tcPr>
            <w:tcW w:w="1224"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398,893 </w:t>
            </w:r>
          </w:p>
        </w:tc>
        <w:tc>
          <w:tcPr>
            <w:tcW w:w="601"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95"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12"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249,537 </w:t>
            </w:r>
          </w:p>
        </w:tc>
        <w:tc>
          <w:tcPr>
            <w:tcW w:w="812" w:type="dxa"/>
            <w:tcBorders>
              <w:top w:val="single" w:sz="12"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825"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9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compensation plans not approved by security holders </w:t>
            </w:r>
          </w:p>
        </w:tc>
        <w:tc>
          <w:tcPr>
            <w:tcW w:w="122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6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8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224"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398,893 </w:t>
            </w:r>
          </w:p>
        </w:tc>
        <w:tc>
          <w:tcPr>
            <w:tcW w:w="6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249,537 </w:t>
            </w:r>
          </w:p>
        </w:tc>
        <w:tc>
          <w:tcPr>
            <w:tcW w:w="81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color w:val="000000"/>
          <w:sz w:val="20"/>
        </w:rPr>
        <w:t>(1)</w:t>
      </w:r>
      <w:r>
        <w:rPr>
          <w:rFonts w:ascii="Times New Roman;sans-serif" w:hAnsi="Times New Roman;sans-serif"/>
          <w:b w:val="false"/>
          <w:color w:val="000000"/>
          <w:sz w:val="20"/>
        </w:rPr>
        <w:t>Amount disclosed relates to awards issued under the Amended and Restated Omnibus Stock and Performance Compensation Plan (the “Omnibus Plan”).</w:t>
      </w:r>
    </w:p>
    <w:p>
      <w:pPr>
        <w:pStyle w:val="TextBody"/>
        <w:spacing w:lineRule="auto" w:line="288" w:before="0" w:after="0"/>
        <w:ind w:left="0" w:right="0" w:hanging="360"/>
        <w:jc w:val="both"/>
        <w:rPr/>
      </w:pPr>
      <w:r>
        <w:rPr>
          <w:rFonts w:ascii="Times New Roman;sans-serif" w:hAnsi="Times New Roman;sans-serif"/>
          <w:b/>
          <w:color w:val="000000"/>
          <w:sz w:val="20"/>
        </w:rPr>
        <w:t>(2)</w:t>
      </w:r>
      <w:r>
        <w:rPr>
          <w:rFonts w:ascii="Times New Roman;sans-serif" w:hAnsi="Times New Roman;sans-serif"/>
          <w:b w:val="false"/>
          <w:color w:val="000000"/>
          <w:sz w:val="20"/>
        </w:rPr>
        <w:t xml:space="preserve">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11 to the consolidated financial statements for information concerning the Omnibus Plan.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pPr>
      <w:r>
        <w:rPr>
          <w:rFonts w:ascii="Times New Roman;sans-serif" w:hAnsi="Times New Roman;sans-serif"/>
          <w:b/>
          <w:color w:val="000000"/>
          <w:sz w:val="20"/>
        </w:rPr>
        <w:t xml:space="preserve">ITEM 13. </w:t>
      </w:r>
      <w:r>
        <w:rPr>
          <w:rFonts w:ascii="Times New Roman;sans-serif" w:hAnsi="Times New Roman;sans-serif"/>
          <w:b/>
          <w:color w:val="000000"/>
          <w:sz w:val="20"/>
          <w:u w:val="single"/>
        </w:rPr>
        <w:t>CERTAIN RELATIONSHIPS AND RELATED TRANSACTIONS, AND DIRECTOR INDEPENDENCE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this Item 13 is incorporated herein by reference to the section entitled “Election of Directors – Proposal 1” of the Company’s 2022 Proxy Statement, a copy of which will be filed with the SEC no later than 120 days after the close of the fiscal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14. </w:t>
      </w:r>
      <w:r>
        <w:rPr>
          <w:rFonts w:ascii="Times New Roman;sans-serif" w:hAnsi="Times New Roman;sans-serif"/>
          <w:b/>
          <w:color w:val="000000"/>
          <w:sz w:val="20"/>
          <w:u w:val="single"/>
        </w:rPr>
        <w:t>PRINCIPAL ACCOUNTANT FEES AND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concerning our principal accountant’s fees and services is incorporated herein by reference to the section entitled “Ratification of Appointment of Independent Registered Public Accounting Firm – Proposal 3” of the Company’s 2022 Proxy Statement, a copy of which will be filed with the SEC no later than 120 days after the close of the fiscal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15. </w:t>
      </w:r>
      <w:r>
        <w:rPr>
          <w:rFonts w:ascii="Times New Roman;sans-serif" w:hAnsi="Times New Roman;sans-serif"/>
          <w:b/>
          <w:color w:val="000000"/>
          <w:sz w:val="20"/>
          <w:u w:val="single"/>
        </w:rPr>
        <w:t>EXHIBITS AND FINANCIAL STATEMENT SCHEDULES</w:t>
      </w:r>
    </w:p>
    <w:tbl>
      <w:tblPr>
        <w:tblW w:w="10205" w:type="dxa"/>
        <w:jc w:val="left"/>
        <w:tblInd w:w="0" w:type="dxa"/>
        <w:tblCellMar>
          <w:top w:w="28" w:type="dxa"/>
          <w:left w:w="28" w:type="dxa"/>
          <w:bottom w:w="28" w:type="dxa"/>
          <w:right w:w="28" w:type="dxa"/>
        </w:tblCellMar>
      </w:tblPr>
      <w:tblGrid>
        <w:gridCol w:w="124"/>
        <w:gridCol w:w="109"/>
        <w:gridCol w:w="109"/>
        <w:gridCol w:w="115"/>
        <w:gridCol w:w="115"/>
        <w:gridCol w:w="115"/>
        <w:gridCol w:w="414"/>
        <w:gridCol w:w="386"/>
        <w:gridCol w:w="386"/>
        <w:gridCol w:w="461"/>
        <w:gridCol w:w="386"/>
        <w:gridCol w:w="386"/>
        <w:gridCol w:w="2471"/>
        <w:gridCol w:w="1856"/>
        <w:gridCol w:w="27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27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w:t>
            </w:r>
          </w:p>
        </w:tc>
        <w:tc>
          <w:tcPr>
            <w:tcW w:w="95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documents are incorporated by reference in or filed as an exhibit to this report: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and </w:t>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Statements and Financial Statement Schedules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Item 8 of this report.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Exhibits listed under (b) of this Item 15.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2419"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Exhibits</w:t>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Fonts w:ascii="Times New Roman;sans-serif" w:hAnsi="Times New Roman;sans-serif"/>
                  <w:b w:val="false"/>
                  <w:color w:val="0000FF"/>
                  <w:sz w:val="20"/>
                  <w:u w:val="single"/>
                </w:rPr>
                <w:t>Restated Articles of Incorporation of Registrant, incorporated by reference to Exhibit 4.1 to Form S-8 Registration Statement No. 333-44499, filed with the SEC on January 20, 1998.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Times New Roman;sans-serif" w:hAnsi="Times New Roman;sans-serif"/>
                  <w:b w:val="false"/>
                  <w:color w:val="0000FF"/>
                  <w:sz w:val="20"/>
                  <w:u w:val="single"/>
                </w:rPr>
                <w:t>Amendment to Restated Articles of Incorporation, incorporated by reference to Exhibit 3.1 to the current report on Form 8-K, filed with the SEC on April 19, 2013.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Fonts w:ascii="Times New Roman;sans-serif" w:hAnsi="Times New Roman;sans-serif"/>
                  <w:b w:val="false"/>
                  <w:color w:val="0000FF"/>
                  <w:sz w:val="20"/>
                  <w:u w:val="single"/>
                </w:rPr>
                <w:t>Articles of Merger of Cass Commercial Corporation, incorporated by reference to Exhibit 3.1 to the quarterly report on Form 10-Q for the quarter ended September 30, 2006.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
              <w:r>
                <w:rPr>
                  <w:rStyle w:val="InternetLink"/>
                  <w:rFonts w:ascii="Times New Roman;sans-serif" w:hAnsi="Times New Roman;sans-serif"/>
                  <w:b w:val="false"/>
                  <w:color w:val="0000FF"/>
                  <w:sz w:val="20"/>
                  <w:u w:val="single"/>
                </w:rPr>
                <w:t>Second Amended and Restated Bylaws of Registrant, incorporated by reference to Exhibit 3.1 to the current report on Form 8-K, filed with the SEC on July 21, 2016.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FF"/>
                  <w:sz w:val="20"/>
                  <w:u w:val="single"/>
                </w:rPr>
                <w:t>Description of the Registrant’s securities, incorporated by reference to Exhibit 4.1 to the Annual report on Form 10-K filed with the SEC on February 28, 2020.</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9">
              <w:r>
                <w:rPr>
                  <w:rStyle w:val="InternetLink"/>
                  <w:rFonts w:ascii="Times New Roman;sans-serif" w:hAnsi="Times New Roman;sans-serif"/>
                  <w:b w:val="false"/>
                  <w:color w:val="0000FF"/>
                  <w:sz w:val="20"/>
                  <w:u w:val="single"/>
                </w:rPr>
                <w:t>Form of Directors’ Indemnification Agreement, incorporated by reference to Exhibit 10.1 to the quarterly report on Form 10-Q for the quarter ended March 31, 2003.*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0">
              <w:r>
                <w:rPr>
                  <w:rStyle w:val="InternetLink"/>
                  <w:rFonts w:ascii="Times New Roman;sans-serif" w:hAnsi="Times New Roman;sans-serif"/>
                  <w:b w:val="false"/>
                  <w:color w:val="0000FF"/>
                  <w:sz w:val="20"/>
                  <w:u w:val="single"/>
                </w:rPr>
                <w:t>Amended and Restated Omnibus Stock and Performance Compensation Plan, incorporated by reference to Exhibit 10.1 to the current report on Form 8-K, filed with the SEC on April 19, 2013.*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
              <w:r>
                <w:rPr>
                  <w:rStyle w:val="InternetLink"/>
                  <w:rFonts w:ascii="Times New Roman;sans-serif" w:hAnsi="Times New Roman;sans-serif"/>
                  <w:b w:val="false"/>
                  <w:color w:val="0000FF"/>
                  <w:sz w:val="20"/>
                  <w:u w:val="single"/>
                </w:rPr>
                <w:t>Amendment and Restatement of the Supplemental Executive Retirement Plan, incorporated by reference to Exhibit 10.2 to the quarterly report on Form 10-Q for the quarter ended September 30, 2007.*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
              <w:r>
                <w:rPr>
                  <w:rStyle w:val="InternetLink"/>
                  <w:rFonts w:ascii="Times New Roman;sans-serif" w:hAnsi="Times New Roman;sans-serif"/>
                  <w:b w:val="false"/>
                  <w:color w:val="0000FF"/>
                  <w:sz w:val="20"/>
                  <w:u w:val="single"/>
                </w:rPr>
                <w:t>Form of Stock Appreciation Rights Award Agreement, incorporated by reference to Exhibit 10.4 to the quarterly report on Form 10-Q for the quarter ended September 30, 2007.*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3">
              <w:r>
                <w:rPr>
                  <w:rStyle w:val="InternetLink"/>
                  <w:rFonts w:ascii="Times New Roman;sans-serif" w:hAnsi="Times New Roman;sans-serif"/>
                  <w:b w:val="false"/>
                  <w:color w:val="0000FF"/>
                  <w:sz w:val="20"/>
                  <w:u w:val="single"/>
                </w:rPr>
                <w:t>Form of Restricted Stock Award Agreement, incorporated by reference to Exhibit 10.8 to the annual report on Form 10-K for the year ended December 31, 2016.*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4">
              <w:r>
                <w:rPr>
                  <w:rStyle w:val="InternetLink"/>
                  <w:rFonts w:ascii="Times New Roman;sans-serif" w:hAnsi="Times New Roman;sans-serif"/>
                  <w:b w:val="false"/>
                  <w:color w:val="0000FF"/>
                  <w:sz w:val="20"/>
                  <w:u w:val="single"/>
                </w:rPr>
                <w:t>Form of Restricted Stock Unit Agreement, incorporated by reference to Exhibit 10.9 to the annual report on Form 10-K for the year ended December 31, 2016.*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107.htm">
              <w:r>
                <w:rPr>
                  <w:rStyle w:val="InternetLink"/>
                </w:rPr>
                <w:t>Description of Cass Information Systems, Inc. Profit Sharing Program, incorporated by reference to Exhibit 10.7 to the annual report on Form 10-K for the year ended December 31, 20</w:t>
              </w:r>
            </w:hyperlink>
            <w:hyperlink w:anchor="cass-20211231x10xkexs107.htm">
              <w:r>
                <w:rPr>
                  <w:rStyle w:val="InternetLink"/>
                </w:rPr>
                <w:t>21</w:t>
              </w:r>
            </w:hyperlink>
            <w:hyperlink w:anchor="cass-20211231x10xkexs107.htm">
              <w:r>
                <w:rPr>
                  <w:rStyle w:val="InternetLink"/>
                </w:rPr>
                <w:t>.*</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5">
              <w:r>
                <w:rPr>
                  <w:rStyle w:val="InternetLink"/>
                  <w:rFonts w:ascii="Times New Roman;sans-serif" w:hAnsi="Times New Roman;sans-serif"/>
                  <w:b w:val="false"/>
                  <w:color w:val="0000FF"/>
                  <w:sz w:val="20"/>
                  <w:u w:val="single"/>
                </w:rPr>
                <w:t>Subsidiaries of registrant.</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23.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311.htm">
              <w:r>
                <w:rPr>
                  <w:rStyle w:val="InternetLink"/>
                  <w:rFonts w:ascii="Times New Roman;sans-serif" w:hAnsi="Times New Roman;sans-serif"/>
                  <w:b w:val="false"/>
                  <w:color w:val="0000FF"/>
                  <w:sz w:val="20"/>
                  <w:u w:val="single"/>
                </w:rPr>
                <w:t>Certification Pursuant to Section 302 of the Sarbanes-Oxley Act of 2002.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312.htm">
              <w:r>
                <w:rPr>
                  <w:rStyle w:val="InternetLink"/>
                  <w:rFonts w:ascii="Times New Roman;sans-serif" w:hAnsi="Times New Roman;sans-serif"/>
                  <w:b w:val="false"/>
                  <w:color w:val="0000FF"/>
                  <w:sz w:val="20"/>
                  <w:u w:val="single"/>
                </w:rPr>
                <w:t>Certification Pursuant to Section 302 of the Sarbanes-Oxley Act of 2002.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7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cass-20211231x10xkexs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Instance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101.SCH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Schema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101.CAL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Calculation Linkbase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101.LAB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Label Linkbase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101.PRE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Presentation Linkbase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101.DEF </w:t>
            </w:r>
          </w:p>
        </w:tc>
        <w:tc>
          <w:tcPr>
            <w:tcW w:w="70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Definition Linkbase Document.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4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3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0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w:t>
            </w:r>
          </w:p>
        </w:tc>
      </w:tr>
    </w:tbl>
    <w:p>
      <w:pPr>
        <w:pStyle w:val="TextBody"/>
        <w:spacing w:lineRule="auto" w:line="288" w:before="200" w:after="283"/>
        <w:ind w:left="0" w:right="0" w:hanging="360"/>
        <w:jc w:val="both"/>
        <w:rPr/>
      </w:pPr>
      <w:r>
        <w:rPr>
          <w:rFonts w:ascii="Times New Roman;sans-serif" w:hAnsi="Times New Roman;sans-serif"/>
          <w:b/>
          <w:color w:val="000000"/>
          <w:sz w:val="20"/>
        </w:rPr>
        <w:t>*</w:t>
      </w:r>
      <w:r>
        <w:rPr>
          <w:rFonts w:ascii="Times New Roman;sans-serif" w:hAnsi="Times New Roman;sans-serif"/>
          <w:b w:val="false"/>
          <w:color w:val="000000"/>
          <w:sz w:val="20"/>
        </w:rPr>
        <w:t>Management contract or compensatory plan arrangement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 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16. </w:t>
      </w:r>
      <w:r>
        <w:rPr>
          <w:rFonts w:ascii="Times New Roman;sans-serif" w:hAnsi="Times New Roman;sans-serif"/>
          <w:b/>
          <w:color w:val="000000"/>
          <w:sz w:val="20"/>
          <w:u w:val="single"/>
        </w:rPr>
        <w:t>FORM 10-K SUMMARY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40" w:after="283"/>
        <w:rPr/>
      </w:pPr>
      <w:hyperlink w:anchor="i762133f56c7c41b383049c54c32cc2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76"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7675" w:type="dxa"/>
        <w:jc w:val="center"/>
        <w:tblInd w:w="0" w:type="dxa"/>
        <w:tblCellMar>
          <w:top w:w="28" w:type="dxa"/>
          <w:left w:w="28" w:type="dxa"/>
          <w:bottom w:w="28" w:type="dxa"/>
          <w:right w:w="28" w:type="dxa"/>
        </w:tblCellMar>
      </w:tblPr>
      <w:tblGrid>
        <w:gridCol w:w="756"/>
        <w:gridCol w:w="664"/>
        <w:gridCol w:w="664"/>
        <w:gridCol w:w="369"/>
        <w:gridCol w:w="369"/>
        <w:gridCol w:w="369"/>
        <w:gridCol w:w="1300"/>
        <w:gridCol w:w="1300"/>
        <w:gridCol w:w="1884"/>
      </w:tblGrid>
      <w:tr>
        <w:trPr/>
        <w:tc>
          <w:tcPr>
            <w:tcW w:w="75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r>
      <w:tr>
        <w:trPr/>
        <w:tc>
          <w:tcPr>
            <w:tcW w:w="767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w:t>
            </w:r>
          </w:p>
        </w:tc>
      </w:tr>
      <w:tr>
        <w:trPr/>
        <w:tc>
          <w:tcPr>
            <w:tcW w:w="767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110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4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Eric H. Brunngraber </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Eric H. Brunngraber </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Chairman and Chief Executive Officer </w:t>
              <w:br/>
              <w:t xml:space="preserve">(Principal Executive Officer) </w:t>
            </w:r>
          </w:p>
        </w:tc>
      </w:tr>
      <w:tr>
        <w:trPr/>
        <w:tc>
          <w:tcPr>
            <w:tcW w:w="7675"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110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4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and Accounting Officer) </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report has been signed below on the dates indicated by the following persons on behalf of the registrant and in their capacity as a member of the Board of Directors of the Company. </w:t>
      </w:r>
    </w:p>
    <w:tbl>
      <w:tblPr>
        <w:tblW w:w="4918" w:type="dxa"/>
        <w:jc w:val="center"/>
        <w:tblInd w:w="0" w:type="dxa"/>
        <w:tblCellMar>
          <w:top w:w="28" w:type="dxa"/>
          <w:left w:w="28" w:type="dxa"/>
          <w:bottom w:w="28" w:type="dxa"/>
          <w:right w:w="28" w:type="dxa"/>
        </w:tblCellMar>
      </w:tblPr>
      <w:tblGrid>
        <w:gridCol w:w="754"/>
        <w:gridCol w:w="664"/>
        <w:gridCol w:w="667"/>
        <w:gridCol w:w="129"/>
        <w:gridCol w:w="129"/>
        <w:gridCol w:w="131"/>
        <w:gridCol w:w="716"/>
        <w:gridCol w:w="716"/>
        <w:gridCol w:w="1012"/>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Eric H. Brunngraber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Eric H. Brunngraber </w:t>
            </w:r>
          </w:p>
        </w:tc>
      </w:tr>
      <w:tr>
        <w:trPr/>
        <w:tc>
          <w:tcPr>
            <w:tcW w:w="491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Ralph W. Clermont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Ralph W. Clermont </w:t>
            </w:r>
          </w:p>
        </w:tc>
      </w:tr>
      <w:tr>
        <w:trPr/>
        <w:tc>
          <w:tcPr>
            <w:tcW w:w="491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Robert A. Ebel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Robert A. Ebel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Benjamin F. Edwards, IV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Benjamin F. Edwards, IV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Wendy J. Henry</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J. Henry</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James J. Lindemann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James J. Lindemann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Sally H. Roth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Sally H. Roth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Joseph D. Rupp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Joseph D. Rupp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Randall L. Schilling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Randall L. Schilling </w:t>
            </w:r>
          </w:p>
        </w:tc>
      </w:tr>
      <w:tr>
        <w:trPr/>
        <w:tc>
          <w:tcPr>
            <w:tcW w:w="4918"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Franklin D. Wicks, Jr.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Franklin D. Wicks, Jr.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Profit Sharing Program</w:t>
      </w:r>
    </w:p>
    <w:p>
      <w:pPr>
        <w:pStyle w:val="TextBody"/>
        <w:spacing w:before="0" w:after="0"/>
        <w:jc w:val="center"/>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the profit sharing program is to facilitate the Company’s continued growth and success by providing rewards that are commensurate with achievement, thereby creating an incentive for superior performance and improved results for shareholders. All employees of Cass Information Systems are eligible to participate in the program, unless specifically excluded due to their employment category, such as temporary staff or if their performance is not meeting the minimum expectations.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the profit sharing fund available for distribution is set by the Board of Directors and has historically been 12.5% of the company’s net profits before taxes for the period of distribution.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are not guaranteed and the company may distribute profit sharing benefits on any schedule and in any manner that it deems appropriate. Currently, distributions are made on a semi-annual basis.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Allocations to employee groups eligible to participate are divided into exempt and non-exempt pools based on the salaries of each group over the corresponding period. The non-exempt pool is distributed to each eligible employee based on a factor of salary and performance score. The exempt pool is distributed to all exempt employees considering factors such as position, salary grade and individual performance. Specific allocations are made out of the exempt pool to the Chief Executive Officer (CEO) and other executive officers, including named executive officers (NEOs) as follows: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CEO – The CEO receives a percentage of the total profit sharing pool based on the change in net income before taxes (NIBT) from the prior year and is set to provide a target percentage of base salary at target performance of 45%. The amount paid to the CEO can range from 0% up to a maximum of 70% of base pay.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Officers – A percentage of the total profit sharing pool is provided for distribution to other executive officers based on the change in NIBT from the prior year and is set to provide a target percentage of base salaries at target performance of 40%. The total funds provided for distribution to the executive officers can range from 0% up to a maximum of 60% of base pay. The amount of funds in this pool is distributed to each individual executive officer by the CEO based on a subjective evaluation considering internal equity and other individual factors related to performance.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Individual distributions to exempt employees, other than the CEO and executive officers, as a percent of salary are subject to set limits based on each individual’s pay grade and any payment in excess of these percentages shall require the review and approval of the President or Chief Operating Officer of each business unit and the CEO. Payments in excess of the set limits for the CEO and executive officers need approval from the Board of Director’s Compensation Committee.</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center"/>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333-44497, 333-44499, 033-91456, 033-91568, 333-143411, 333-181772, and 333-188504) on Form S-8 of our reports dated February 28, 2022, with respect to the consolidated financial statements of Cass Information Systems, Inc. and the effectiveness of internal control over financial reporting.</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 Louis, Missouri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Eric H. Brunngraber, certify that: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Cass Information Systems, Inc.;</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40" w:type="dxa"/>
        <w:jc w:val="left"/>
        <w:tblInd w:w="0" w:type="dxa"/>
        <w:tblCellMar>
          <w:top w:w="28" w:type="dxa"/>
          <w:left w:w="28" w:type="dxa"/>
          <w:bottom w:w="28" w:type="dxa"/>
          <w:right w:w="28" w:type="dxa"/>
        </w:tblCellMar>
      </w:tblPr>
      <w:tblGrid>
        <w:gridCol w:w="754"/>
        <w:gridCol w:w="664"/>
        <w:gridCol w:w="667"/>
        <w:gridCol w:w="954"/>
        <w:gridCol w:w="954"/>
        <w:gridCol w:w="134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H. Brunngraber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H. Brunngraber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Michael J. Normile, certify that: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Cass Information Systems, Inc.;</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25" w:type="dxa"/>
        <w:jc w:val="left"/>
        <w:tblInd w:w="0" w:type="dxa"/>
        <w:tblCellMar>
          <w:top w:w="28" w:type="dxa"/>
          <w:left w:w="28" w:type="dxa"/>
          <w:bottom w:w="28" w:type="dxa"/>
          <w:right w:w="28" w:type="dxa"/>
        </w:tblCellMar>
      </w:tblPr>
      <w:tblGrid>
        <w:gridCol w:w="754"/>
        <w:gridCol w:w="664"/>
        <w:gridCol w:w="667"/>
        <w:gridCol w:w="1297"/>
        <w:gridCol w:w="1297"/>
        <w:gridCol w:w="1846"/>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Cass Information Systems, Inc. (“the Company”) on Form 10-K for the period ended December 31, 2021,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pStyle w:val="TextBody"/>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97" w:type="dxa"/>
        <w:jc w:val="left"/>
        <w:tblInd w:w="0" w:type="dxa"/>
        <w:tblCellMar>
          <w:top w:w="28" w:type="dxa"/>
          <w:left w:w="28" w:type="dxa"/>
          <w:bottom w:w="28" w:type="dxa"/>
          <w:right w:w="28" w:type="dxa"/>
        </w:tblCellMar>
      </w:tblPr>
      <w:tblGrid>
        <w:gridCol w:w="124"/>
        <w:gridCol w:w="109"/>
        <w:gridCol w:w="109"/>
        <w:gridCol w:w="954"/>
        <w:gridCol w:w="954"/>
        <w:gridCol w:w="13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H. Brunngraber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H. Brunngraber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Cass Information Systems, Inc. (“the Company”) on Form 10-K for the period ended December 31, 2021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pStyle w:val="TextBody"/>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CellMar>
          <w:top w:w="28" w:type="dxa"/>
          <w:left w:w="28" w:type="dxa"/>
          <w:bottom w:w="28" w:type="dxa"/>
          <w:right w:w="28" w:type="dxa"/>
        </w:tblCellMar>
      </w:tblPr>
      <w:tblGrid>
        <w:gridCol w:w="124"/>
        <w:gridCol w:w="109"/>
        <w:gridCol w:w="109"/>
        <w:gridCol w:w="1297"/>
        <w:gridCol w:w="1297"/>
        <w:gridCol w:w="18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08781/0000950114-98-000012.txt" TargetMode="External"/><Relationship Id="rId5" Type="http://schemas.openxmlformats.org/officeDocument/2006/relationships/hyperlink" Target="https://www.sec.gov/Archives/edgar/data/708781/000119312513162285/d522876dex31.htm" TargetMode="External"/><Relationship Id="rId6" Type="http://schemas.openxmlformats.org/officeDocument/2006/relationships/hyperlink" Target="https://www.sec.gov/Archives/edgar/data/708781/000119380506002677/e601185_ex3-1.txt" TargetMode="External"/><Relationship Id="rId7" Type="http://schemas.openxmlformats.org/officeDocument/2006/relationships/hyperlink" Target="https://www.sec.gov/Archives/edgar/data/708781/000119312516653705/d202430dex31.htm" TargetMode="External"/><Relationship Id="rId8" Type="http://schemas.openxmlformats.org/officeDocument/2006/relationships/hyperlink" Target="https://www.sec.gov/Archives/edgar/data/708781/000120677420000650/cass3589044-ex41.htm" TargetMode="External"/><Relationship Id="rId9" Type="http://schemas.openxmlformats.org/officeDocument/2006/relationships/hyperlink" Target="https://www.sec.gov/Archives/edgar/data/708781/000119380503000382/e300379_ex10-1.txt" TargetMode="External"/><Relationship Id="rId10" Type="http://schemas.openxmlformats.org/officeDocument/2006/relationships/hyperlink" Target="https://www.sec.gov/Archives/edgar/data/708781/000119312513162285/d522876dex101.htm" TargetMode="External"/><Relationship Id="rId11" Type="http://schemas.openxmlformats.org/officeDocument/2006/relationships/hyperlink" Target="https://www.sec.gov/Archives/edgar/data/708781/000119380507002783/e602795_ex10-2.txt" TargetMode="External"/><Relationship Id="rId12" Type="http://schemas.openxmlformats.org/officeDocument/2006/relationships/hyperlink" Target="https://www.sec.gov/Archives/edgar/data/708781/000119380507002783/e602795_ex10-4.txt" TargetMode="External"/><Relationship Id="rId13" Type="http://schemas.openxmlformats.org/officeDocument/2006/relationships/hyperlink" Target="https://www.sec.gov/Archives/edgar/data/708781/000120677417000734/cass3073843-ex108.htm" TargetMode="External"/><Relationship Id="rId14" Type="http://schemas.openxmlformats.org/officeDocument/2006/relationships/hyperlink" Target="https://www.sec.gov/Archives/edgar/data/708781/000120677417000734/cass3073843-ex109.htm" TargetMode="External"/><Relationship Id="rId15" Type="http://schemas.openxmlformats.org/officeDocument/2006/relationships/hyperlink" Target="https://www.sec.gov/Archives/edgar/data/708781/000120677421000530/cass10kex2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45437</Words>
  <CharactersWithSpaces>298878</CharactersWithSpaces>
  <Paragraphs>5409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